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Valneva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nominal value EUR0.15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Sophie Paquin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6-8, boulevard Haussmann,</w:t>
      </w:r>
    </w:p>
    <w:p>
      <w:pPr>
        <w:ind w:left="4100"/>
        <w:spacing w:after="0" w:line="230" w:lineRule="auto"/>
        <w:rPr>
          <w:sz w:val="20"/>
          <w:szCs w:val="20"/>
          <w:color w:val="auto"/>
        </w:rPr>
      </w:pPr>
      <w:r>
        <w:rPr>
          <w:rFonts w:ascii="Times New Roman" w:cs="Times New Roman" w:eastAsia="Times New Roman" w:hAnsi="Times New Roman"/>
          <w:sz w:val="22"/>
          <w:szCs w:val="22"/>
          <w:b w:val="1"/>
          <w:bCs w:val="1"/>
          <w:color w:val="0000FF"/>
        </w:rPr>
        <w:t>Paris, I0, 75009</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33 6 37 85 94 06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Partigan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Nixon Peabody LLP, 799 9 Street NW Ste 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202-585-8000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Lloyd Spencer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Nixon Peabody LLP, 799 9 Street NW Ste 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202-585-8000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Bpifrance Participations S.A.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14,317,670.00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7,158,835.00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14,317,670.00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11 and 13: The Reporting Person beneficially owns 7,158,835 Ordinary Shares. The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786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Reporting Person's Ordinary Shares have double voting rights, resulting in 14,317,670</w:t>
            </w:r>
          </w:p>
        </w:tc>
        <w:tc>
          <w:tcPr>
            <w:tcW w:w="25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voting rights related to such</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7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Upon the sale of Ordinary Shares by the Reporting Person, the double voting</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rights are extinguished. The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aggregate amount beneficially owned and percent of class reported above are based on the Reporting Person's voting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rights and the 204,237,106 voting rights outstanding as of May 5,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EPIC Bpifrance</w:t>
      </w:r>
    </w:p>
    <w:p>
      <w:pPr>
        <w:sectPr>
          <w:pgSz w:w="11900" w:h="16838" w:orient="portrait"/>
          <w:cols w:equalWidth="0" w:num="1">
            <w:col w:w="11240"/>
          </w:cols>
          <w:pgMar w:left="320" w:top="110" w:right="339" w:bottom="0" w:gutter="0" w:footer="0" w:header="0"/>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14,317,670.00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7,158,835.00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14,317,670.00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11 and 13: The Reporting Person beneficially owns 7,158,835 Ordinary Shares.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786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Reporting Person's Ordinary Shares have double voting rights, resulting in 14,317,670</w:t>
            </w:r>
          </w:p>
        </w:tc>
        <w:tc>
          <w:tcPr>
            <w:tcW w:w="25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voting rights related to such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7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Upon the sale of Ordinary Shares by the Reporting Person, the double voting</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rights are extinguished. The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aggregate amount beneficially owned and percent of class reported above are based on the Reporting Person's voting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rights and the 204,237,106 voting rights outstanding as of May 5,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Bpifrance S.A.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11" w:right="339" w:bottom="0" w:gutter="0" w:footer="0" w:header="0"/>
        </w:sectPr>
      </w:pPr>
    </w:p>
    <w:bookmarkStart w:id="3" w:name="page4"/>
    <w:bookmarkEnd w:id="3"/>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14,317,670.00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7,158,835.00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14,317,670.00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11 and 13: The Reporting Person beneficially owns 7,158,835 Ordinary Shares.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Reporting Peron's Ordinary Shares have double voting rights, resulting in 14,317,670 voting rights related to such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Upon the sale of Ordinary Shares by the Reporting Person, the double voting rights are extinguished. The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aggregate amount beneficially owned and percent of class reported above are based on the Reporting Person's voting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rights and the 204,237,106 voting rights outstanding as of May 5,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Caisse des depots et consignations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jc w:val="center"/>
        <w:ind w:right="8040"/>
        <w:spacing w:after="0"/>
        <w:rPr>
          <w:sz w:val="20"/>
          <w:szCs w:val="20"/>
          <w:color w:val="auto"/>
        </w:rPr>
      </w:pPr>
      <w:r>
        <w:rPr>
          <w:rFonts w:ascii="Times New Roman" w:cs="Times New Roman" w:eastAsia="Times New Roman" w:hAnsi="Times New Roman"/>
          <w:sz w:val="22"/>
          <w:szCs w:val="22"/>
          <w:color w:val="auto"/>
        </w:rPr>
        <w:t>FRANCE</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112" w:right="3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19,074,653.00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11,915,818.00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19,074,653.00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11 and 13: The Reporting Person beneficially owns 11,915,818</w:t>
            </w:r>
          </w:p>
        </w:tc>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Ordinary Shares.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gridSpan w:val="2"/>
          </w:tcPr>
          <w:p>
            <w:pPr>
              <w:ind w:left="100"/>
              <w:spacing w:after="0" w:line="229" w:lineRule="exact"/>
              <w:rPr>
                <w:sz w:val="20"/>
                <w:szCs w:val="20"/>
                <w:color w:val="auto"/>
              </w:rPr>
            </w:pPr>
            <w:r>
              <w:rPr>
                <w:rFonts w:ascii="Times New Roman" w:cs="Times New Roman" w:eastAsia="Times New Roman" w:hAnsi="Times New Roman"/>
                <w:sz w:val="22"/>
                <w:szCs w:val="22"/>
                <w:color w:val="auto"/>
              </w:rPr>
              <w:t>Certain of the Reporting Person's Ordinary Shares have double voting rights, resulting in 19,074,653 voting rights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related to such shares. Upon the sale of Ordinary Shares by the Reporting Person, any double</w:t>
            </w:r>
          </w:p>
        </w:tc>
        <w:tc>
          <w:tcPr>
            <w:tcW w:w="15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voting rights are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extinguished. The aggregate amount beneficially owned and percent of class reported above are based on the Reporting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Person's voting rights and the 204,237,106 voting rights outstanding as of May 5,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CDC Croissance S.A.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4,755,872.00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 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-2338705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bookmarkStart w:id="5" w:name="page6"/>
    <w:bookmarkEnd w:id="5"/>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22"/>
          <w:szCs w:val="22"/>
          <w:color w:val="auto"/>
        </w:rPr>
        <w:t>4,755,872.00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4,755,872.00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Note in relation to Items 8, 10, 11 and 13: The Reporting Person beneficially owns 4,755,872 Ordinary Shares, which do not have double voting rights. The aggregate amount beneficially owned and percent of class reported above are based on 204,237,106 voting rights outstanding as of May 5, 2026.</w:t>
      </w:r>
    </w:p>
    <w:p>
      <w:pPr>
        <w:spacing w:after="0" w:line="400" w:lineRule="exact"/>
        <w:rPr>
          <w:sz w:val="20"/>
          <w:szCs w:val="20"/>
          <w:color w:val="auto"/>
        </w:rPr>
      </w:pPr>
    </w:p>
    <w:p>
      <w:pPr>
        <w:sectPr>
          <w:pgSz w:w="11900" w:h="16838" w:orient="portrait"/>
          <w:cols w:equalWidth="0" w:num="2">
            <w:col w:w="1120" w:space="40"/>
            <w:col w:w="10080"/>
          </w:cols>
          <w:pgMar w:left="320" w:top="355"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EUR0.15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Valneva SE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Ilot Saint-Joseph, Bureaux Convergence, 12ter Quai Perrache, Lyon, FRANCE , 69002.</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Introductory Statement: This Amendment No. 5 (this "Amendment") is being filed by Bpifrance Participations S.A.,</w:t>
      </w:r>
    </w:p>
    <w:p>
      <w:pPr>
        <w:spacing w:after="0" w:line="18" w:lineRule="exact"/>
        <w:rPr>
          <w:sz w:val="20"/>
          <w:szCs w:val="20"/>
          <w:color w:val="auto"/>
        </w:rPr>
      </w:pPr>
    </w:p>
    <w:p>
      <w:pPr>
        <w:jc w:val="both"/>
        <w:ind w:left="1000" w:right="40" w:hanging="951"/>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 societe anonyme incorporated under the laws of the Republic of France ("Bpifrance Participations"), EPIC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Bpifrance, a French public institution of industrial and commercial nature ("EPIC" ), Bpifrance S.A., a societe anonyme incorporated under the laws of the Republic of France ("Bpifrance"), Caisse des Depots et consignations, a French special public entity (etablissement special) ("CDC") and CDC Croissance S.A., a societe anonyme incorporated under the laws of the Republic of France ("CDC Croissance") (collectively, the "Reporting Persons") pursuant to Section 13(d)(3) of the Securities Exchange Act of 1934, as amended (the "Exchange Act"). This Amendment relates to the Ordinary Shares, nominal value EUR0.15 per share (the "Ordinary Shares") of Valneva SE (the "Issuer").This Amendment amends and supplements the Schedule 13D relating to Ordinary Shares of the Issuer filed with the Securities and Exchange Commission (the "SEC") on November 16, 2022, as amended by: (i) Amendment No. 1 to Schedule 13D filed with the SEC on June 30, 2023; (ii) Amendment No. 2 to Schedule 13D filed with the SEC on September 20, 2024; (iii) Amendment No. 3 to Schedule 13D filed with the SEC on September 5, 2025; and (iv) Amendment No. 4 to Schedule 13D filed with the SEC on March 10, 2026 (collectively, as amended, the "Schedule 13D"). Except as specifically provided herein, this Amendment does not modify any of the information previously reported in the Schedule 13D. Capitalized terms used herein shall have the meanings ascribed to them in the Schedule 13D.</w:t>
      </w:r>
    </w:p>
    <w:p>
      <w:pPr>
        <w:spacing w:after="0" w:line="26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Information concerning the executive officers and directors of Bpifrance Participations, EPIC, Bpifrance, CDC and</w:t>
      </w:r>
    </w:p>
    <w:p>
      <w:pPr>
        <w:spacing w:after="0" w:line="14" w:lineRule="exact"/>
        <w:rPr>
          <w:sz w:val="20"/>
          <w:szCs w:val="20"/>
          <w:color w:val="auto"/>
        </w:rPr>
      </w:pPr>
    </w:p>
    <w:p>
      <w:pPr>
        <w:ind w:left="960" w:right="860" w:hanging="912"/>
        <w:spacing w:after="0" w:line="237" w:lineRule="auto"/>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CDC Croissance required to be disclosed in response to Item 2 and General Instruction C to Schedule 13D is provided in Exhibit 99.2 to this Amendment and incorporated herein by reference.</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None of the Reporting Persons, nor, to the best of their knowledge, any of the persons referred to in Exhibit 99.2 has,</w:t>
      </w:r>
    </w:p>
    <w:p>
      <w:pPr>
        <w:spacing w:after="0" w:line="25" w:lineRule="exact"/>
        <w:rPr>
          <w:rFonts w:ascii="Times New Roman" w:cs="Times New Roman" w:eastAsia="Times New Roman" w:hAnsi="Times New Roman"/>
          <w:sz w:val="22"/>
          <w:szCs w:val="22"/>
          <w:color w:val="auto"/>
        </w:rPr>
      </w:pPr>
    </w:p>
    <w:p>
      <w:pPr>
        <w:ind w:left="960" w:right="1080" w:hanging="912"/>
        <w:spacing w:after="0" w:line="237" w:lineRule="auto"/>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been convicted in a criminal proceeding (excluding traffic violations and similar misdemeanors).</w:t>
      </w:r>
    </w:p>
    <w:p>
      <w:pPr>
        <w:spacing w:after="0" w:line="16" w:lineRule="exact"/>
        <w:rPr>
          <w:rFonts w:ascii="Times New Roman" w:cs="Times New Roman" w:eastAsia="Times New Roman" w:hAnsi="Times New Roman"/>
          <w:sz w:val="22"/>
          <w:szCs w:val="22"/>
          <w:color w:val="auto"/>
        </w:rPr>
      </w:pPr>
    </w:p>
    <w:p>
      <w:pPr>
        <w:ind w:left="960" w:right="16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nor, to the best of their knowledge, any of the persons referred to in Exhibit 99.2 has, during the last five years, been a party to a civil proceeding of a judicial or administrative body of competent</w:t>
      </w:r>
    </w:p>
    <w:p>
      <w:pPr>
        <w:spacing w:after="0" w:line="1" w:lineRule="exact"/>
        <w:rPr>
          <w:rFonts w:ascii="Times New Roman" w:cs="Times New Roman" w:eastAsia="Times New Roman" w:hAnsi="Times New Roman"/>
          <w:sz w:val="22"/>
          <w:szCs w:val="22"/>
          <w:color w:val="auto"/>
        </w:rPr>
      </w:pPr>
    </w:p>
    <w:p>
      <w:pPr>
        <w:ind w:left="960" w:right="100" w:hanging="912"/>
        <w:spacing w:after="0" w:line="235" w:lineRule="auto"/>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CDC Croissance used working capital</w:t>
      </w:r>
    </w:p>
    <w:p>
      <w:pPr>
        <w:sectPr>
          <w:pgSz w:w="11900" w:h="16838" w:orient="portrait"/>
          <w:cols w:equalWidth="0" w:num="1">
            <w:col w:w="11240"/>
          </w:cols>
          <w:pgMar w:left="320" w:top="355" w:right="339"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for the purchases of Ordinary Shares reported in this Amendment.</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The Issuer completed an EUR84 million reserved offering subscribed by a limited number of investors which is expected to close on May 5, 2026 (the "Reserved Offering"). In the Reserved Offering, the Issuer issued 15,893,817 new ordinary shares (the "New Shares"), and one share warrant is attached to each New Share. The Reporting Persons did not participate in the Reserved Offering. The New Shares issued in the Reserved Offering represented an increase in the share capital of the Issuer which resulted in a dilution of the Reporting Persons' holdings. In the past 60 days, Bpifrance Participations sold 356,003 Ordinary Shares. Bpifrance Participations sold the amount of Ordinary Shares on the date and at the price set forth below in open market transactions. Unless otherwise noted, the sales of the Ordinary Shares were sold in multiple transactions at varying prices. The Reporting Persons undertake to provide the Issuer, any security holder of the Issuer, or the staff of the Securities and Exchange Commission, upon request, full information regarding the number of shares sold at each price within the ranges set forth in this Schedule 13D. March 10, 2026: - 226,532 Ordinary Shares at a weighted average price of EUR4.93 per share (multiple transactions at prices ranging from EUR4.85 to EUR5.03, inclusive). March 11, 2026: - 5,318 Ordinary Shares at a weighted average price of EUR4.96 per share (multiple transactions at prices ranging from EUR4.90 to EUR4.96, inclusive). March 18, 2026: - 124,153 Ordinary Shares at a weighted average price of EUR4.94 per share (multiple transactions at prices ranging from EUR4.85 to EUR5.00, inclusive). Since the filing of Amendment No. 4, CDC Croissance has acquired 130,000 Ordinary Shares and sold 289,645 Ordinary Shares. CDC Croissance purchased and sold the amount of Ordinary Shares on the date and at the price set forth below in open market transactions. Unless otherwise noted, the purchases and sales of the Ordinary Shares were purchased or sold in multiple transactions at varying prices. The Reporting Persons undertake to provide the Issuer, any security holder of the Issuer, or the staff of the Securities and Exchange Commission, upon request, full information regarding the number of shares purchased at each price within the ranges set forth in this Schedule 13D. Purchased Ordinary Shares March 9, 2026: - 78,518 Ordinary Shares at a weighted average price of EUR4.51 per share (multiple transactions at prices ranging from EUR4.43 to EUR4.60, inclusive). March 12, 2026: - 51,482 Ordinary Shares at a weighted average price of EUR4.54 per share (multiple transactions at prices ranging from EUR4.49 to EUR4.60, inclusive). Sold Ordinary Shares March 30, 2026: - 289,645 Ordinary Shares at a weighted average price of EUR2.81 per share (multiple transactions at prices ranging from EUR2.75 to EUR2.88, inclusive). All of the Ordinary Shares that are held of record by the Reporting Persons as reported herein were acquired for investment purposes. The Reporting Persons retain the right to change their investment intent, from time to time to acquire additional Ordinary Shares or other securities of the Issuer, or to sell or otherwise dispose of all or part of the Ordinary Shares or other securities of the Issuer, if any, beneficially owned by them, in any manner permitted by law. The Reporting Persons may engage from time to time in ordinary course transactions with financial institutions with respect to the securities described herein. Except as set forth above, none of the Reporting Persons currently has any plans or proposals which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27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Item 5(a) of the Schedule 13D is hereby amended and supplemented as follows: As of the date hereof, (i) Bpifrance Participations holds directly 7,158,835 Ordinary Shares and 14,317,670 Voting Rights, and (ii) CDC Croissance held, through CDC PME CROISSANCE, 4,755,872 Ordinary Shares and 4,755,872 Voting Rights. As of the date hereof, none of Bpifrance, EPIC or CDC holds any Ordinary Shares directly. Bpifrance may be deemed to be the beneficial owner of 7,158,835 Ordinary Shares and 14,317,670 Voting Rights, indirectly through its 99.99% ownership of Bpifrance Participations. EPIC may be deemed to be the beneficial owner of 7,158,835 Ordinary Shares and 14,317,670 Voting Rights, indirectly through its joint ownership and control of Bpifrance. CDC may be deemed to be the beneficial owner of (x) 7,158,835 Ordinary Shares and 14,317,670 Voting Rights, indirectly through its joint ownership and control of Bpifrance, (y) 4,755,872 Ordinary Shares and 4,755,872 Voting Rights, indirectly through</w:t>
      </w:r>
    </w:p>
    <w:p>
      <w:pPr>
        <w:spacing w:after="0" w:line="1" w:lineRule="exact"/>
        <w:rPr>
          <w:sz w:val="20"/>
          <w:szCs w:val="20"/>
          <w:color w:val="auto"/>
        </w:rPr>
      </w:pPr>
    </w:p>
    <w:p>
      <w:pPr>
        <w:ind w:left="920" w:right="60" w:hanging="912"/>
        <w:spacing w:after="0" w:line="213"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its ownership of CDC Croissance and (z) 1,111 Ordinary Shares and 1,111 Voting Rights, indirectly through its ownership of CNP Assurances. The ownership percentages are calculated based on 189,646,915 Ordinary Shares outstanding and 204,237,106 Voting Rights as of May 5, 2026, as reported by the Issuer. The amount of outstanding Ordinary Shares and Voting Rights disclosed above is calculated under U.S. law, which requires treasury shares to be excluded from the calculation of outstanding shares. Under French law, treasury shares are required to be included in the calculation of outstanding shares. Using the French law requirements, the Issuer has 189,771,237 outstanding Ordinary Shares and 204,361,428 outstanding Voting Rights, and (i) Bpifrance Participations' Ordinary Share holdings represent approximately 3.8% of the Issuer's outstanding Ordinary Shares, and its Voting Rights represent approximately 7.0% of outstanding Voting Rights, and (ii) CDC Croissance's Ordinary Share holdings represent approximately 2.5% of the Issuer's outstanding Ordinary Shares, and its Voting Rights represent approximately 2.3% of outstanding Voting Rights.</w:t>
      </w:r>
    </w:p>
    <w:p>
      <w:pPr>
        <w:spacing w:after="0" w:line="19" w:lineRule="exact"/>
        <w:rPr>
          <w:rFonts w:ascii="Times New Roman" w:cs="Times New Roman" w:eastAsia="Times New Roman" w:hAnsi="Times New Roman"/>
          <w:sz w:val="43"/>
          <w:szCs w:val="43"/>
          <w:color w:val="auto"/>
          <w:vertAlign w:val="subscript"/>
        </w:rPr>
      </w:pPr>
    </w:p>
    <w:p>
      <w:pPr>
        <w:ind w:left="920" w:right="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Schedule 13D is hereby amended and supplemented as follows: See the information contained on the cover pages of this Amendment, which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Item 5(c) of the Schedule 13D is hereby amended and supplemented as follows: The information set forth in Item 4 is</w:t>
      </w:r>
    </w:p>
    <w:p>
      <w:pPr>
        <w:spacing w:after="0" w:line="25" w:lineRule="exact"/>
        <w:rPr>
          <w:rFonts w:ascii="Times New Roman" w:cs="Times New Roman" w:eastAsia="Times New Roman" w:hAnsi="Times New Roman"/>
          <w:sz w:val="39"/>
          <w:szCs w:val="39"/>
          <w:color w:val="auto"/>
          <w:vertAlign w:val="subscript"/>
        </w:rPr>
      </w:pPr>
    </w:p>
    <w:p>
      <w:pPr>
        <w:ind w:left="920" w:right="480" w:hanging="912"/>
        <w:spacing w:after="0" w:line="184"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hereby incorporated by reference to this Item 5(c). Except as disclosed in this Amendment, there have been no reportable transactions with respect to the Ordinary Shares of the Issuer within the last 60 days by the Reporting Persons, or, to the best of their knowledge, any of the persons referred to in Exhibit 99.2.</w:t>
      </w:r>
    </w:p>
    <w:p>
      <w:pPr>
        <w:sectPr>
          <w:pgSz w:w="11900" w:h="16838" w:orient="portrait"/>
          <w:cols w:equalWidth="0" w:num="1">
            <w:col w:w="11100"/>
          </w:cols>
          <w:pgMar w:left="360" w:top="111" w:right="439" w:bottom="0" w:gutter="0" w:footer="0" w:header="0"/>
        </w:sectPr>
      </w:pPr>
    </w:p>
    <w:bookmarkStart w:id="7" w:name="page8"/>
    <w:bookmarkEnd w:id="7"/>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5" w:lineRule="exact"/>
        <w:rPr>
          <w:sz w:val="20"/>
          <w:szCs w:val="20"/>
          <w:color w:val="auto"/>
        </w:rPr>
      </w:pPr>
    </w:p>
    <w:p>
      <w:pPr>
        <w:ind w:left="920" w:right="280"/>
        <w:spacing w:after="0" w:line="244" w:lineRule="auto"/>
        <w:rPr>
          <w:sz w:val="20"/>
          <w:szCs w:val="20"/>
          <w:color w:val="auto"/>
        </w:rPr>
      </w:pPr>
      <w:r>
        <w:rPr>
          <w:rFonts w:ascii="Times New Roman" w:cs="Times New Roman" w:eastAsia="Times New Roman" w:hAnsi="Times New Roman"/>
          <w:sz w:val="22"/>
          <w:szCs w:val="22"/>
          <w:color w:val="auto"/>
        </w:rPr>
        <w:t>EX 99.1 - Joint Filing Agreement, dated as of September 19, 2024, by and among the Reporting Persons (incorporated by reference to Exhibit 99.1 to the Reporting Person's Schedule 13D/A filed on September 20, 2024) EX 99.2 - Information with respect to the Directors and Executive Officers of the Reporting Persons</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Bpifrance Participations S.A.</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Sophie Paquin</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Sophie Paquin/Director of Legal Affairs</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EPIC Bpifrance</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Sophie Paquin</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Sophie Paquin/Director of Legal Affairs</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Bpifrance S.A.</w:t>
      </w:r>
    </w:p>
    <w:p>
      <w:pPr>
        <w:spacing w:after="0" w:line="152" w:lineRule="exact"/>
        <w:rPr>
          <w:sz w:val="20"/>
          <w:szCs w:val="20"/>
          <w:color w:val="auto"/>
        </w:rPr>
      </w:pPr>
    </w:p>
    <w:p>
      <w:pPr>
        <w:ind w:left="554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Boubaker Dione</w:t>
      </w:r>
    </w:p>
    <w:p>
      <w:pPr>
        <w:spacing w:after="0" w:line="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Name/Title: Boubakar Dione/Group Director of Legal Affairs</w:t>
      </w:r>
    </w:p>
    <w:p>
      <w:pPr>
        <w:spacing w:after="0" w:line="44" w:lineRule="exact"/>
        <w:rPr>
          <w:sz w:val="20"/>
          <w:szCs w:val="20"/>
          <w:color w:val="auto"/>
        </w:rPr>
      </w:pPr>
    </w:p>
    <w:p>
      <w:pPr>
        <w:ind w:left="554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Caisse des depots et consignations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Laurence Giraudon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Laurence Giraudon/Chief Operating Officer,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Finance and Operations Department, Asset</w:t>
      </w:r>
    </w:p>
    <w:p>
      <w:pPr>
        <w:ind w:left="6740"/>
        <w:spacing w:after="0"/>
        <w:rPr>
          <w:sz w:val="20"/>
          <w:szCs w:val="20"/>
          <w:color w:val="auto"/>
        </w:rPr>
      </w:pPr>
      <w:r>
        <w:rPr>
          <w:rFonts w:ascii="Times New Roman" w:cs="Times New Roman" w:eastAsia="Times New Roman" w:hAnsi="Times New Roman"/>
          <w:sz w:val="22"/>
          <w:szCs w:val="22"/>
          <w:color w:val="auto"/>
        </w:rPr>
        <w:t>Management Division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CDC Croissance S.A.</w:t>
      </w:r>
    </w:p>
    <w:p>
      <w:pPr>
        <w:spacing w:after="0" w:line="152"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Aude de Lardemelle</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Aude de Lardemelle/Executive Director</w:t>
      </w:r>
    </w:p>
    <w:p>
      <w:pPr>
        <w:spacing w:after="0" w:line="44"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38" w:orient="portrait"/>
          <w:cols w:equalWidth="0" w:num="1">
            <w:col w:w="11140"/>
          </w:cols>
          <w:pgMar w:left="360" w:top="111"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with respect to Directors and Executive Officers of the Reporting Persons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business address, present principal occupation or employment and place of citizenship of the directors and executive officers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BPIFRANCE PARTICIPATIONS S.A.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name, business address and present principal occupation or employment of each of the directors and executive officers of Bpifrance Participations S.A. are set forth below. The business address of each director and executive officer is Bpifrance Participations S.A., 27-31, avenue du Général Leclerc, 94710 Maisons-Alfort Cedex, France. Unless otherwise indicated, each director and executive officer is a citizen of France.</w:t>
      </w:r>
    </w:p>
    <w:p>
      <w:pPr>
        <w:sectPr>
          <w:pgSz w:w="11900" w:h="16838" w:orient="portrait"/>
          <w:cols w:equalWidth="0" w:num="1">
            <w:col w:w="11240"/>
          </w:cols>
          <w:pgMar w:left="320" w:top="351"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7913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DUFOURCQ</w:t>
      </w:r>
    </w:p>
    <w:p>
      <w:pPr>
        <w:spacing w:after="0" w:line="198" w:lineRule="exact"/>
        <w:rPr>
          <w:sz w:val="20"/>
          <w:szCs w:val="20"/>
          <w:color w:val="auto"/>
        </w:rPr>
      </w:pPr>
    </w:p>
    <w:p>
      <w:pPr>
        <w:ind w:right="160"/>
        <w:spacing w:after="0" w:line="364" w:lineRule="auto"/>
        <w:rPr>
          <w:sz w:val="20"/>
          <w:szCs w:val="20"/>
          <w:color w:val="auto"/>
        </w:rPr>
      </w:pPr>
      <w:r>
        <w:rPr>
          <w:rFonts w:ascii="Times New Roman" w:cs="Times New Roman" w:eastAsia="Times New Roman" w:hAnsi="Times New Roman"/>
          <w:sz w:val="17"/>
          <w:szCs w:val="17"/>
          <w:color w:val="auto"/>
        </w:rPr>
        <w:t>MARION CABROL OLIVIER RAVEL FREDERIC SAINT-GEOURS</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FRENCH STATE represented by GUILLEMETTE KREIS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CAMILLE SUTTER</w:t>
      </w:r>
    </w:p>
    <w:p>
      <w:pPr>
        <w:spacing w:after="0" w:line="198" w:lineRule="exact"/>
        <w:rPr>
          <w:sz w:val="20"/>
          <w:szCs w:val="20"/>
          <w:color w:val="auto"/>
        </w:rPr>
      </w:pPr>
    </w:p>
    <w:p>
      <w:pPr>
        <w:ind w:right="720"/>
        <w:spacing w:after="0" w:line="412" w:lineRule="auto"/>
        <w:rPr>
          <w:sz w:val="20"/>
          <w:szCs w:val="20"/>
          <w:color w:val="auto"/>
        </w:rPr>
      </w:pPr>
      <w:r>
        <w:rPr>
          <w:rFonts w:ascii="Times New Roman" w:cs="Times New Roman" w:eastAsia="Times New Roman" w:hAnsi="Times New Roman"/>
          <w:sz w:val="17"/>
          <w:szCs w:val="17"/>
          <w:color w:val="auto"/>
        </w:rPr>
        <w:t>CHLOE MAYENOBE CAROLINE PAROT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JEROME GAZZANO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 AUBOUIN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7913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01" w:lineRule="exact"/>
        <w:rPr>
          <w:sz w:val="20"/>
          <w:szCs w:val="20"/>
          <w:color w:val="auto"/>
        </w:rPr>
      </w:pPr>
    </w:p>
    <w:p>
      <w:pPr>
        <w:ind w:right="560"/>
        <w:spacing w:after="0" w:line="360" w:lineRule="auto"/>
        <w:rPr>
          <w:sz w:val="20"/>
          <w:szCs w:val="20"/>
          <w:color w:val="auto"/>
        </w:rPr>
      </w:pPr>
      <w:r>
        <w:rPr>
          <w:rFonts w:ascii="Times New Roman" w:cs="Times New Roman" w:eastAsia="Times New Roman" w:hAnsi="Times New Roman"/>
          <w:sz w:val="18"/>
          <w:szCs w:val="18"/>
          <w:color w:val="auto"/>
        </w:rPr>
        <w:t>NICOLAS DUFOURCQ JOSÉ GONZALO PIERRE BENEDETTI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52717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Director, Chairman, Chief Executive Officer of Bpifrance Participations</w:t>
      </w:r>
      <w:r>
        <w:rPr>
          <w:rFonts w:ascii="Times New Roman" w:cs="Times New Roman" w:eastAsia="Times New Roman" w:hAnsi="Times New Roman"/>
          <w:sz w:val="18"/>
          <w:szCs w:val="18"/>
          <w:color w:val="auto"/>
        </w:rPr>
        <w:t>, and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Bpifrance</w:t>
      </w:r>
    </w:p>
    <w:p>
      <w:pPr>
        <w:spacing w:after="0" w:line="20" w:lineRule="exact"/>
        <w:rPr>
          <w:sz w:val="20"/>
          <w:szCs w:val="20"/>
          <w:color w:val="auto"/>
        </w:rPr>
      </w:pPr>
    </w:p>
    <w:p>
      <w:pPr>
        <w:jc w:val="both"/>
        <w:ind w:right="1720"/>
        <w:spacing w:after="0" w:line="362"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Investment manager at the Department of strategic holdings at Caisse des Dépôts</w:t>
      </w:r>
      <w:r>
        <w:rPr>
          <w:rFonts w:ascii="Times New Roman" w:cs="Times New Roman" w:eastAsia="Times New Roman" w:hAnsi="Times New Roman"/>
          <w:sz w:val="18"/>
          <w:szCs w:val="18"/>
          <w:b w:val="1"/>
          <w:bCs w:val="1"/>
          <w:color w:val="auto"/>
        </w:rPr>
        <w:t xml:space="preserve"> Director</w:t>
      </w:r>
      <w:r>
        <w:rPr>
          <w:rFonts w:ascii="Times New Roman" w:cs="Times New Roman" w:eastAsia="Times New Roman" w:hAnsi="Times New Roman"/>
          <w:sz w:val="18"/>
          <w:szCs w:val="18"/>
          <w:color w:val="auto"/>
        </w:rPr>
        <w:t>, Head of M&amp;A within the Department of strategic holdings at Caisse des Dépôts</w:t>
      </w:r>
      <w:r>
        <w:rPr>
          <w:rFonts w:ascii="Times New Roman" w:cs="Times New Roman" w:eastAsia="Times New Roman" w:hAnsi="Times New Roman"/>
          <w:sz w:val="18"/>
          <w:szCs w:val="18"/>
          <w:b w:val="1"/>
          <w:bCs w:val="1"/>
          <w:color w:val="auto"/>
        </w:rPr>
        <w:t xml:space="preserve"> Director</w:t>
      </w:r>
      <w:r>
        <w:rPr>
          <w:rFonts w:ascii="Times New Roman" w:cs="Times New Roman" w:eastAsia="Times New Roman" w:hAnsi="Times New Roman"/>
          <w:sz w:val="18"/>
          <w:szCs w:val="18"/>
          <w:color w:val="auto"/>
        </w:rPr>
        <w:t>, formerly vice chairman of the board of directors of SNCF SA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Investment manager at the Agence des Participations de l’Etat (French State Shareholding Agency)</w:t>
      </w:r>
    </w:p>
    <w:p>
      <w:pPr>
        <w:spacing w:after="0" w:line="1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head of the Corporate Financing and Development Office, Direction Générale du Trésor (French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Chief Operating Officer at Thunes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CEO of Technicolor Creative Studios</w:t>
      </w:r>
    </w:p>
    <w:p>
      <w:pPr>
        <w:spacing w:after="0" w:line="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deputy Director for Innovation in the General Directorate for Companies of the Ministry of Economy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Director of the division Sales and Strategic management of the Portfolio Banque des Territoires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52717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Director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34" w:lineRule="exact"/>
        <w:rPr>
          <w:sz w:val="20"/>
          <w:szCs w:val="20"/>
          <w:color w:val="auto"/>
        </w:rPr>
      </w:pPr>
    </w:p>
    <w:p>
      <w:pPr>
        <w:sectPr>
          <w:pgSz w:w="11900" w:h="16838" w:orient="portrait"/>
          <w:cols w:equalWidth="0" w:num="2">
            <w:col w:w="2380" w:space="560"/>
            <w:col w:w="8300"/>
          </w:cols>
          <w:pgMar w:left="320" w:top="351" w:right="339" w:bottom="1440" w:gutter="0" w:footer="0" w:header="0"/>
          <w:type w:val="continuous"/>
        </w:sectPr>
      </w:pP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Name, business address, present principal occupation or employment and place of citizenship of the directors and executive officers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CAISSE DES DÉPÔTS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name, business address and present principal occupation or employment of each of the members of the Management Committee of Caisse des Dépôts are set forth below. The business address of each director and executive officer is Caisse des Dépôts, c/o 56, rue de Lille, 75007 Paris, France. Unless otherwise indicated, each such person is a citizen of France.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MANAGEMENT COMMITTEE</w:t>
            </w:r>
          </w:p>
        </w:tc>
        <w:tc>
          <w:tcPr>
            <w:tcW w:w="8300" w:type="dxa"/>
            <w:vAlign w:val="bottom"/>
          </w:tcPr>
          <w:p>
            <w:pPr>
              <w:spacing w:after="0"/>
              <w:rPr>
                <w:sz w:val="20"/>
                <w:szCs w:val="20"/>
                <w:color w:val="auto"/>
              </w:rPr>
            </w:pPr>
          </w:p>
        </w:tc>
      </w:tr>
      <w:tr>
        <w:trPr>
          <w:trHeight w:val="43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r>
      <w:tr>
        <w:trPr>
          <w:trHeight w:val="291"/>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OLIVIER SICHEL</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of Caisse des Dépôts</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NICOLAS DUFOURCQ</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of Bpifrance</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VIRGINIE CHAPRON-DU JEU</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Head of Risk Management of Caisse des Dépôts Group</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CHEVALIER</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Head of Legal Affairs, compliance and Ethics</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NATHALIE TUBIANA</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Head of finance and Sustainable Development Policy at Caisse des Dépôts</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OLIVIER MAREUSE</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Deputy Chief Executive Officer Head of Asset Management and Saving Funds</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MAYENOBE</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Deputy Chief Executive, Operations and Business Transformation Director of Caisse des Dépôts Group</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SOPHIE QUATREHOMME</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Head of Communications, Corporate Sponsorship and Partnerships</w:t>
            </w:r>
          </w:p>
        </w:tc>
      </w:tr>
      <w:tr>
        <w:trPr>
          <w:trHeight w:val="27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MARIANNE KERMOAL-</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Head of Social Policy</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BERTHOME</w:t>
            </w:r>
          </w:p>
        </w:tc>
        <w:tc>
          <w:tcPr>
            <w:tcW w:w="8300" w:type="dxa"/>
            <w:vAlign w:val="bottom"/>
          </w:tcPr>
          <w:p>
            <w:pPr>
              <w:spacing w:after="0"/>
              <w:rPr>
                <w:sz w:val="20"/>
                <w:szCs w:val="20"/>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ANTOINE SAINTOYANT</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Deputy general manager at Caisse des Dépôts and Head of Banque des Territoires</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JULIE-AGATHE BAKALOWICZ</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Advisor to the Chief Executive Office</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AURELIE ROBINEAU-ISRAĒL</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Head of Human Resources</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AUDREY GIRARD</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Head of Strategic Investments</w:t>
            </w:r>
          </w:p>
        </w:tc>
      </w:tr>
      <w:tr>
        <w:trPr>
          <w:trHeight w:val="648"/>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Name, business address, present principal occupation or employment and place of citizenship of the directors and executive officers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EPIC BPIFRANCE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business address and present principal occupation or employment of each of the directors and executive officers of EPIC Bpifrance are set forth below. The business address of each director and executive officer is EPIC Bpifrance, 27-31, avenue du Général Leclerc, 94710 Maisons-Alfort Cedex, France. Unless otherwise indicated, each director and executive officer is a citizen of France.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300" w:type="dxa"/>
            <w:vAlign w:val="bottom"/>
          </w:tcPr>
          <w:p>
            <w:pPr>
              <w:spacing w:after="0"/>
              <w:rPr>
                <w:sz w:val="20"/>
                <w:szCs w:val="20"/>
                <w:color w:val="auto"/>
              </w:rPr>
            </w:pP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BODIN</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interim Chairman, Chief Executive Officer of EPIC Bpifrance</w:t>
            </w:r>
          </w:p>
        </w:tc>
      </w:tr>
      <w:tr>
        <w:trPr>
          <w:trHeight w:val="27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ESTELLE DHONT-PELTRAULT</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assistant to the Head of the Innovation, Technology Transfer and Regional Action Department in the</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General Directorate for Research and Innovation</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SANDRINE MENARD</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Deputy for Corporate Financing and Financial Markets</w:t>
            </w: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PALACIN</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Head of the office for the General Secretary for Public Investment</w:t>
            </w:r>
          </w:p>
        </w:tc>
      </w:tr>
      <w:tr>
        <w:trPr>
          <w:trHeight w:val="27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PINEAU</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Head of the office for Energy, Investments, Industry and Innovation in the General Directorate for</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Budget of the Ministry of Economy and Finance</w:t>
            </w:r>
          </w:p>
        </w:tc>
      </w:tr>
      <w:tr>
        <w:trPr>
          <w:trHeight w:val="27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EMMANUELLE BENHAMOU</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Deputy at the audit and accounting department of the Agence des Participations de l'Etat (French State</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Shareholding Agency)</w:t>
            </w:r>
          </w:p>
        </w:tc>
      </w:tr>
      <w:tr>
        <w:trPr>
          <w:trHeight w:val="27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HELM</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Head of Innovation Financing and Intellectual Property in the General Directorate for Companies of the</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Ministry of Economy and Finance</w:t>
            </w:r>
          </w:p>
        </w:tc>
      </w:tr>
      <w:tr>
        <w:trPr>
          <w:trHeight w:val="648"/>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Name, business address, present principal occupation or employment and place of citizenship of the directors and executive officers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BPIFRANCE S.A.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business address and present principal occupation or employment of each of the directors and executive officers of Bpifrance S.A. are set forth below. The business address of each director and executive officer is Bpifrance S.A., 27-31, avenue du Général Leclerc, 94710 Maisons-Alfort Cedex, France. Unless otherwise indicated, each director and executive officer is a citizen of France.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0" w:type="dxa"/>
            <w:vAlign w:val="bottom"/>
          </w:tcPr>
          <w:p>
            <w:pPr>
              <w:spacing w:after="0"/>
              <w:rPr>
                <w:sz w:val="1"/>
                <w:szCs w:val="1"/>
                <w:color w:val="auto"/>
              </w:rPr>
            </w:pPr>
          </w:p>
        </w:tc>
      </w:tr>
      <w:tr>
        <w:trPr>
          <w:trHeight w:val="291"/>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OLIVIER SICHEL</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Chairman of Bpifrance, Chief Executive Officer of Caisse des Dépôts</w:t>
            </w:r>
          </w:p>
        </w:tc>
        <w:tc>
          <w:tcPr>
            <w:tcW w:w="0" w:type="dxa"/>
            <w:vAlign w:val="bottom"/>
          </w:tcPr>
          <w:p>
            <w:pPr>
              <w:spacing w:after="0"/>
              <w:rPr>
                <w:sz w:val="1"/>
                <w:szCs w:val="1"/>
                <w:color w:val="auto"/>
              </w:rPr>
            </w:pPr>
          </w:p>
        </w:tc>
      </w:tr>
      <w:tr>
        <w:trPr>
          <w:trHeight w:val="279"/>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NICOLAS DUFOURCQ</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Director, Chief Executive Officer of Bpifrance </w:t>
            </w:r>
            <w:r>
              <w:rPr>
                <w:rFonts w:ascii="Times New Roman" w:cs="Times New Roman" w:eastAsia="Times New Roman" w:hAnsi="Times New Roman"/>
                <w:sz w:val="18"/>
                <w:szCs w:val="18"/>
                <w:color w:val="auto"/>
                <w:w w:val="99"/>
              </w:rPr>
              <w:t>and Director, Chairman and Chief Executive Officer of Bpifrance</w:t>
            </w:r>
          </w:p>
        </w:tc>
        <w:tc>
          <w:tcPr>
            <w:tcW w:w="0" w:type="dxa"/>
            <w:vAlign w:val="bottom"/>
          </w:tcPr>
          <w:p>
            <w:pPr>
              <w:spacing w:after="0"/>
              <w:rPr>
                <w:sz w:val="1"/>
                <w:szCs w:val="1"/>
                <w:color w:val="auto"/>
              </w:rPr>
            </w:pPr>
          </w:p>
        </w:tc>
      </w:tr>
      <w:tr>
        <w:trPr>
          <w:trHeight w:val="126"/>
        </w:trPr>
        <w:tc>
          <w:tcPr>
            <w:tcW w:w="2940" w:type="dxa"/>
            <w:vAlign w:val="bottom"/>
            <w:gridSpan w:val="2"/>
            <w:vMerge w:val="continue"/>
          </w:tcPr>
          <w:p>
            <w:pPr>
              <w:spacing w:after="0"/>
              <w:rPr>
                <w:sz w:val="10"/>
                <w:szCs w:val="10"/>
                <w:color w:val="auto"/>
              </w:rPr>
            </w:pPr>
          </w:p>
        </w:tc>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Participations</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ANTOINE SAINTOYANT</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Deputy general manager at Caisse des Dépôts and Head of Banque des Territoires</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ALEXIS ZAJDENWEBER</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Chairman of the Agence des Participations de l'Etat (French State Shareholding Agency)</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MARIE DELEAGE</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representing the employees of Bpifrance</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PHILIPPE BAYEUX</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representing the employees of Bpifrance</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PIERRE-ANDRE DE CHALENDAR</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honorary Chairman of Saint-Gobain</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DUMAS</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formerly CFO at Société Générale</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SCHAER</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Interministerial director of digital affairs</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MARION CABROL</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Investment manager in the Department of strategic holdings at Caisse des Dépôts</w:t>
            </w:r>
          </w:p>
        </w:tc>
        <w:tc>
          <w:tcPr>
            <w:tcW w:w="0" w:type="dxa"/>
            <w:vAlign w:val="bottom"/>
          </w:tcPr>
          <w:p>
            <w:pPr>
              <w:spacing w:after="0"/>
              <w:rPr>
                <w:sz w:val="1"/>
                <w:szCs w:val="1"/>
                <w:color w:val="auto"/>
              </w:rPr>
            </w:pPr>
          </w:p>
        </w:tc>
      </w:tr>
      <w:tr>
        <w:trPr>
          <w:trHeight w:val="27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PERNOD</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Director</w:t>
            </w:r>
            <w:r>
              <w:rPr>
                <w:rFonts w:ascii="Times New Roman" w:cs="Times New Roman" w:eastAsia="Times New Roman" w:hAnsi="Times New Roman"/>
                <w:sz w:val="18"/>
                <w:szCs w:val="18"/>
                <w:color w:val="auto"/>
                <w:w w:val="99"/>
              </w:rPr>
              <w:t>, Vice-president of the Regional Council of Auvergne-Rhône-Alpes, in charge of the economy, relocation,</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regional preference and digital</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NATHALIE TUBIANA</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Head of finance and sustainable policy of Caisse des Dépôts Group</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CHEREMETINSKI</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Deputy Director General of the Treasury</w:t>
            </w:r>
          </w:p>
        </w:tc>
        <w:tc>
          <w:tcPr>
            <w:tcW w:w="0" w:type="dxa"/>
            <w:vAlign w:val="bottom"/>
          </w:tcPr>
          <w:p>
            <w:pPr>
              <w:spacing w:after="0"/>
              <w:rPr>
                <w:sz w:val="1"/>
                <w:szCs w:val="1"/>
                <w:color w:val="auto"/>
              </w:rPr>
            </w:pPr>
          </w:p>
        </w:tc>
      </w:tr>
      <w:tr>
        <w:trPr>
          <w:trHeight w:val="29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BRICE HUET</w:t>
            </w: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General commissioner for sustainable development</w:t>
            </w:r>
          </w:p>
        </w:tc>
        <w:tc>
          <w:tcPr>
            <w:tcW w:w="0" w:type="dxa"/>
            <w:vAlign w:val="bottom"/>
          </w:tcPr>
          <w:p>
            <w:pPr>
              <w:spacing w:after="0"/>
              <w:rPr>
                <w:sz w:val="1"/>
                <w:szCs w:val="1"/>
                <w:color w:val="auto"/>
              </w:rPr>
            </w:pPr>
          </w:p>
        </w:tc>
      </w:tr>
      <w:tr>
        <w:trPr>
          <w:trHeight w:val="648"/>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Name, business address, present principal occupation or employment and place of citizenship of the directors and executive officers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CDC CROISSANCE S.A.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business address and present principal occupation or employment of each of the directors and executive officers of CDC Croissance S.A. are set forth below. The business address of each director and executive officer is CDC Croissance S.A., 209, rue de l’Université, 75007 Paris, France. Unless otherwise indicated, each such person is a citizen of France.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20" w:type="dxa"/>
            <w:vAlign w:val="bottom"/>
          </w:tcPr>
          <w:p>
            <w:pPr>
              <w:spacing w:after="0"/>
              <w:rPr>
                <w:sz w:val="20"/>
                <w:szCs w:val="20"/>
                <w:color w:val="auto"/>
              </w:rPr>
            </w:pPr>
          </w:p>
        </w:tc>
        <w:tc>
          <w:tcPr>
            <w:tcW w:w="8300" w:type="dxa"/>
            <w:vAlign w:val="bottom"/>
          </w:tcPr>
          <w:p>
            <w:pPr>
              <w:spacing w:after="0"/>
              <w:rPr>
                <w:sz w:val="20"/>
                <w:szCs w:val="20"/>
                <w:color w:val="auto"/>
              </w:rPr>
            </w:pP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83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OLIVIER MAREUSE</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Chief Investment Officer and Director of Saving Funds at Caisse des Dépôts.</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LAURENCE GIRAUDON</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 Chief Operating Officer, Finance and Operations Department, Asset Management Division</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GILLES HAYEM</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 Head of Listed Equities Portfolio Management, Asset Management Division at Caisse des Dépôts</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FLORENCE BONNEVAY</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 Chief Executive Officer of Allesens</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OLIVIER HEREIL</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 Chief Investment Officer at BNP Paribas Cardif</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83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AUDE DE LARDEMELLE</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Chief Executive Director</w:t>
            </w:r>
          </w:p>
        </w:tc>
      </w:tr>
      <w:tr>
        <w:trPr>
          <w:trHeight w:val="648"/>
        </w:trPr>
        <w:tc>
          <w:tcPr>
            <w:tcW w:w="28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gridSpan w:val="2"/>
          </w:tcPr>
          <w:p>
            <w:pPr>
              <w:ind w:left="27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2026-05-12T16:11:38Z</dcterms:created>
  <dcterms:modified xsi:type="dcterms:W3CDTF">2026-05-12T16:11:38Z</dcterms:modified>
</cp:coreProperties>
</file>