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333-296504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31,609,140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 representing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by the selling securityholders identified in this prospectus, or the selling securityholders, of up 31,609,140 ordinary shares, nominal value €0.15 per share (the “Resale Shares”) of Valneva SE, or the Company, which may be represented by American Depositary Shares, or ADSs. These Resale Shares consist of (i) up to 15,715,323 issued and outstanding ordinary shares, and (ii) up to 15,893,817 ordinary shares (the “ABSA Warrant Shares”) issuable upon the exercise of warrants to purchase ordinary shares (the “ABSA Warrants”). The selling securityholders acquired the Resale Shares, or the securities giving rights to the Resale Shares, pursuant to the securities purchase agreement dated April 29, 2026 by and between the Company and the selling securityholders (the “Securities Purchase Agreement”).</w:t>
      </w:r>
    </w:p>
    <w:p>
      <w:pPr>
        <w:spacing w:after="0" w:line="187" w:lineRule="exact"/>
        <w:rPr>
          <w:sz w:val="24"/>
          <w:szCs w:val="24"/>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are registering the offer and sale of the Resale Shares by the selling securityholders to satisfy our obligations to them pursuant to a registration rights agreement dated April 29, 2026 (the “Registration Rights Agreement”) by and among the Company and the selling securityholders. We will not receive any proceeds from the sale of the Resale Shares by the selling securityholders.</w:t>
      </w:r>
    </w:p>
    <w:p>
      <w:pPr>
        <w:spacing w:after="0" w:line="176" w:lineRule="exact"/>
        <w:rPr>
          <w:sz w:val="24"/>
          <w:szCs w:val="24"/>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offer, sell, transfer or otherwise dispose of any or all of the Resale Shares described in this prospectus from time to time through public or private transactions. These transactions may be at prevailing market prices at the time of sale, at prices related to the prevailing market price or at negotiated prices. The selling securityholders will bear all underwriting fees, commissions and discounts, if any, attributable to the sales of Resale Shares and any transfer taxes We will bear all other costs, expenses and fees in connection with the registration of the Resale Shares. See “Plan of Distribution” for more information about how the selling securityholders may sell or dispose of their Resale Shares.</w:t>
      </w:r>
    </w:p>
    <w:p>
      <w:pPr>
        <w:spacing w:after="0" w:line="183" w:lineRule="exact"/>
        <w:rPr>
          <w:sz w:val="24"/>
          <w:szCs w:val="24"/>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ADSs are listed on the Nasdaq Global Select Market under the symbol “VALN.” On June 15, 2026, the last reported sale price of the ADSs on the Nasdaq Global Select Market was $5.39 per ADS. Our ordinary shares are listed on the regulated market of Euronext in Paris under the symbol “VLA.” On June 15, 2026, the closing price of our ordinary shares on the regulated market of Euronext in Paris was € 2.292 per ordinary share. Each ADS represents two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“Risk Factors” and under the caption “Risk Factors” in our most recent Annual Report on Form 20-F, any related free writing prospectus we have authorized for use in connection with a specific offering and any documents incorporated by reference in this prospectus.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common shares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220" w:type="dxa"/>
            <w:vAlign w:val="bottom"/>
            <w:gridSpan w:val="8"/>
            <w:vMerge w:val="restart"/>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0"/>
        </w:trPr>
        <w:tc>
          <w:tcPr>
            <w:tcW w:w="2240" w:type="dxa"/>
            <w:vAlign w:val="bottom"/>
            <w:tcBorders>
              <w:bottom w:val="single" w:sz="8" w:color="0000EE"/>
            </w:tcBorders>
            <w:gridSpan w:val="9"/>
            <w:vMerge w:val="continue"/>
          </w:tcPr>
          <w:p>
            <w:pPr>
              <w:spacing w:after="0"/>
              <w:rPr>
                <w:sz w:val="13"/>
                <w:szCs w:val="13"/>
                <w:color w:val="auto"/>
              </w:rPr>
            </w:pPr>
          </w:p>
        </w:tc>
        <w:tc>
          <w:tcPr>
            <w:tcW w:w="8220" w:type="dxa"/>
            <w:vAlign w:val="bottom"/>
            <w:gridSpan w:val="8"/>
            <w:vMerge w:val="continue"/>
          </w:tcPr>
          <w:p>
            <w:pPr>
              <w:spacing w:after="0"/>
              <w:rPr>
                <w:sz w:val="13"/>
                <w:szCs w:val="13"/>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8360" w:type="dxa"/>
            <w:vAlign w:val="bottom"/>
            <w:gridSpan w:val="9"/>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9200" w:type="dxa"/>
            <w:vAlign w:val="bottom"/>
            <w:gridSpan w:val="14"/>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5120" w:type="dxa"/>
            <w:vAlign w:val="bottom"/>
            <w:gridSpan w:val="2"/>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40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 AND ARTICLES OF ASSOCIATION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3180" w:type="dxa"/>
            <w:vAlign w:val="bottom"/>
            <w:tcBorders>
              <w:top w:val="single" w:sz="8" w:color="0000EE"/>
            </w:tcBorders>
            <w:gridSpan w:val="6"/>
          </w:tcPr>
          <w:p>
            <w:pPr>
              <w:spacing w:after="0"/>
              <w:rPr>
                <w:sz w:val="17"/>
                <w:szCs w:val="17"/>
                <w:color w:val="auto"/>
              </w:rPr>
            </w:pPr>
          </w:p>
        </w:tc>
        <w:tc>
          <w:tcPr>
            <w:tcW w:w="47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TAXATION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17"/>
                <w:szCs w:val="17"/>
                <w:color w:val="auto"/>
              </w:rPr>
            </w:pPr>
          </w:p>
        </w:tc>
        <w:tc>
          <w:tcPr>
            <w:tcW w:w="900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CHANGES</w:t>
            </w:r>
          </w:p>
        </w:tc>
        <w:tc>
          <w:tcPr>
            <w:tcW w:w="86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SERVICE OF PROCESS AND ENFORCEMENT OF LIABILITIES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46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EXPENSES ASSOCIATED WITH REGISTRATION</w:t>
            </w:r>
          </w:p>
        </w:tc>
        <w:tc>
          <w:tcPr>
            <w:tcW w:w="620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7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F-3 that we filed with the U.S. Securities and Exchange Commission (the “SEC”) utilizing a “shelf” registration process. Under this shelf registration process, certain selling securityholders may from time to time sell our ordinary shares, ordinary shares in the form of ADSs or any combination thereof described in this prospectus in one or more offerings or otherwise as described under “Plan of Distribution.” This prospectus only provides you with a general description of the securities we may offer.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shares and the distribution of this prospectus outside the United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may be supplemented from time to time by one or more prospectus supplements. Such prospectus supplements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More Information” before deciding to invest in any shares being offered.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and in any free writing prospectus that we authorized for use in connection with this offering. We have not, and the sales agent has not, authorized anyone to provide you with different information. If anyone provides you with different or inconsistent information, you should not rely on it. We are not, and the sales agent is not, making an offer to sell these securities in any jurisdiction where the offer or sale is not permitted. You should assume that the information appearing in this prospectus, the documents incorporated by reference in this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 this prospectus and any free writing prospectus that we have authorized for use in connection with this offering in their entirety before making an investment decision.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France.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to, “Valneva,” “the company,” “our company,” “we,” “us” and “our” refer to Valneva SE and its consolidated subsidiaries.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084695" cy="6776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4695" cy="6776085"/>
                    </a:xfrm>
                    <a:prstGeom prst="rect">
                      <a:avLst/>
                    </a:prstGeom>
                    <a:noFill/>
                  </pic:spPr>
                </pic:pic>
              </a:graphicData>
            </a:graphic>
          </wp:anchor>
        </w:drawing>
        <w:t>PROSPECTUS SUMMARY</w:t>
      </w:r>
    </w:p>
    <w:p>
      <w:pPr>
        <w:spacing w:after="0" w:line="227"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about us, this offering and selected information contained elsewhere in or incorporated by reference into this prospectus, and does not contain all of the information that you need to consider in making your investment decision. For a more complete understanding of our business and this offering, you should carefully read the entire prospectus and the documents incorporated by reference herein, including our consolidated financial statements and the notes thereto, which are incorporated herein by reference. Investing in our securities involves risks. Therefore, carefully consider the risk factors set forth in this prospectus and in our most recent filings with the SEC including our Annual Reports on Form 20-F and reports on Form 6-K, as well as other information in this prospectus 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2" w:right="20" w:firstLine="1"/>
        <w:spacing w:after="0" w:line="266" w:lineRule="auto"/>
        <w:rPr>
          <w:sz w:val="20"/>
          <w:szCs w:val="20"/>
          <w:color w:val="auto"/>
        </w:rPr>
      </w:pPr>
      <w:r>
        <w:rPr>
          <w:rFonts w:ascii="Times New Roman" w:cs="Times New Roman" w:eastAsia="Times New Roman" w:hAnsi="Times New Roman"/>
          <w:sz w:val="18"/>
          <w:szCs w:val="18"/>
          <w:color w:val="auto"/>
        </w:rPr>
        <w:t>Please see the section entitled “Information on the Company – Business Overview,” incorporated by reference from our Annual Report on Form 20-F for the fiscal year ended December 31, 2025, filed with the SEC on March 17, 2026, as well as any amendments thereto reflected in our subsequent filings with the SEC.</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ind w:left="2" w:right="120"/>
        <w:spacing w:after="0" w:line="268" w:lineRule="auto"/>
        <w:rPr>
          <w:sz w:val="20"/>
          <w:szCs w:val="20"/>
          <w:color w:val="auto"/>
        </w:rPr>
      </w:pPr>
      <w:r>
        <w:rPr>
          <w:rFonts w:ascii="Times New Roman" w:cs="Times New Roman" w:eastAsia="Times New Roman" w:hAnsi="Times New Roman"/>
          <w:sz w:val="17"/>
          <w:szCs w:val="17"/>
          <w:color w:val="auto"/>
        </w:rPr>
        <w:t xml:space="preserve">On April 29, 2026, we entered into a securities purchase agreement (the “Securities Purchase Agreement”) with the investors named therein (each an “Investor,” and together, the “Investors”), pursuant to which we agreed to issue and sell to the Investors in a private placement (the “Private Placement”) 15,893,817 new Ordinary Shares, nominal value €0.15 per share (the “New Shares”), each New Share with a warrant attached (a “Warrant” and, together with the New Share to which it is attached, an “ABSA”, or </w:t>
      </w:r>
      <w:r>
        <w:rPr>
          <w:rFonts w:ascii="Times New Roman" w:cs="Times New Roman" w:eastAsia="Times New Roman" w:hAnsi="Times New Roman"/>
          <w:sz w:val="17"/>
          <w:szCs w:val="17"/>
          <w:i w:val="1"/>
          <w:iCs w:val="1"/>
          <w:color w:val="auto"/>
        </w:rPr>
        <w:t>Actions à Bons de Souscription d’Actions</w:t>
      </w:r>
      <w:r>
        <w:rPr>
          <w:rFonts w:ascii="Times New Roman" w:cs="Times New Roman" w:eastAsia="Times New Roman" w:hAnsi="Times New Roman"/>
          <w:sz w:val="17"/>
          <w:szCs w:val="17"/>
          <w:color w:val="auto"/>
        </w:rPr>
        <w:t>) exercisable for one Ordinary Share at a subscription price of €2.33 per ABSA. On May 5, 2026, we closed the Private Placement and issued an aggregate of 31,787,634 Ordinary Shares, nominal value €0.15 per share (the “Resale Shares”), consisting of (i) up to 15,893,817 issued and outstanding Ordinary Shares, and</w:t>
      </w:r>
    </w:p>
    <w:p>
      <w:pPr>
        <w:spacing w:after="0" w:line="5" w:lineRule="exact"/>
        <w:rPr>
          <w:sz w:val="20"/>
          <w:szCs w:val="20"/>
          <w:color w:val="auto"/>
        </w:rPr>
      </w:pPr>
    </w:p>
    <w:p>
      <w:pPr>
        <w:ind w:left="2" w:right="240" w:hanging="2"/>
        <w:spacing w:after="0" w:line="260" w:lineRule="auto"/>
        <w:tabs>
          <w:tab w:leader="none" w:pos="26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15,893,817 Ordinary Shares (the “ABSA Warrant Shares”) issuable upon the exercise of warrants to purchase ordinary shares (the “ABSA Warrants”).</w:t>
      </w:r>
    </w:p>
    <w:p>
      <w:pPr>
        <w:spacing w:after="0" w:line="181" w:lineRule="exact"/>
        <w:rPr>
          <w:sz w:val="20"/>
          <w:szCs w:val="20"/>
          <w:color w:val="auto"/>
        </w:rPr>
      </w:pPr>
    </w:p>
    <w:p>
      <w:pPr>
        <w:ind w:left="2" w:right="100"/>
        <w:spacing w:after="0" w:line="254" w:lineRule="auto"/>
        <w:rPr>
          <w:sz w:val="20"/>
          <w:szCs w:val="20"/>
          <w:color w:val="auto"/>
        </w:rPr>
      </w:pPr>
      <w:r>
        <w:rPr>
          <w:rFonts w:ascii="Times New Roman" w:cs="Times New Roman" w:eastAsia="Times New Roman" w:hAnsi="Times New Roman"/>
          <w:sz w:val="18"/>
          <w:szCs w:val="18"/>
          <w:color w:val="auto"/>
        </w:rPr>
        <w:t>Each Warrant entitles its holder to subscribe to one Warrant Share at an exercise price of €2.96 per Warrant Share, representing a premium of 25% to the volume-weighted average price of the Ordinary Shares on the regulated market of Euronext Paris over the three trading days preceding the setting of such issue price, i.e. April 27, 28 and 29, 2026 (i.e. €2.37), subject to standard adjustments. The Warrants may be exercised, in whole or in part, for cash, at any time from the business day immediately following their issuance to the earlier of (i) the 30th calendar day following receipt by us of the FDA regulatory approval for its investigational 6-valent OspA-based Lyme disease vaccine candidate (LB6V, formerly known as VLA15) (the “FDA Approval”) and (ii) the third business day (included) prior to March 31, 2028 (the “Maturity Date” and such period, the “Exercise Period”). If, as of March 1, 2028, the FDA Approval has not been obtained by the us, the Maturity Date shall automatically be extended to September 30, 2028 and the Exercise Period shall be correspondingly extended.</w:t>
      </w:r>
    </w:p>
    <w:p>
      <w:pPr>
        <w:spacing w:after="0" w:line="192" w:lineRule="exact"/>
        <w:rPr>
          <w:sz w:val="20"/>
          <w:szCs w:val="20"/>
          <w:color w:val="auto"/>
        </w:rPr>
      </w:pPr>
    </w:p>
    <w:p>
      <w:pPr>
        <w:ind w:left="2" w:right="200"/>
        <w:spacing w:after="0" w:line="260" w:lineRule="auto"/>
        <w:rPr>
          <w:sz w:val="20"/>
          <w:szCs w:val="20"/>
          <w:color w:val="auto"/>
        </w:rPr>
      </w:pPr>
      <w:r>
        <w:rPr>
          <w:rFonts w:ascii="Times New Roman" w:cs="Times New Roman" w:eastAsia="Times New Roman" w:hAnsi="Times New Roman"/>
          <w:sz w:val="18"/>
          <w:szCs w:val="18"/>
          <w:color w:val="auto"/>
        </w:rPr>
        <w:t>The Warrants provide that the holder will not have the right to exercise any portion of its Warrants if such holder, together with its affiliates, would beneficially own in excess of 9.99% of the number of Ordinary Shares outstanding immediately after giving effect to such exercise (the “Beneficial Ownership Limitation”). The holder may increase or decrease the Beneficial Ownership Limitation, provided that (i) to the extent required by the French foreign direct investment regime (“French FDI Regime”), the holder may only increase the Beneficial Ownership Limitation above 9.99% if the holder has obtained from the French Ministry of Economy through an authorization request or prior notification, in accordance with the French FDI Regime and (ii) in no event will the Beneficial Ownership Limitation exceed 19.99%.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us.</w:t>
      </w:r>
    </w:p>
    <w:p>
      <w:pPr>
        <w:spacing w:after="0" w:line="200" w:lineRule="exact"/>
        <w:rPr>
          <w:sz w:val="20"/>
          <w:szCs w:val="20"/>
          <w:color w:val="auto"/>
        </w:rPr>
      </w:pPr>
    </w:p>
    <w:p>
      <w:pPr>
        <w:spacing w:after="0" w:line="307"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2"/>
          </w:cols>
          <w:pgMar w:left="458" w:top="1116"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084695" cy="3510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4695" cy="3510280"/>
                    </a:xfrm>
                    <a:prstGeom prst="rect">
                      <a:avLst/>
                    </a:prstGeom>
                    <a:noFill/>
                  </pic:spPr>
                </pic:pic>
              </a:graphicData>
            </a:graphic>
          </wp:anchor>
        </w:drawing>
        <w:t>Registration Rights Agreement</w:t>
      </w:r>
    </w:p>
    <w:p>
      <w:pPr>
        <w:spacing w:after="0" w:line="2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On April 29, 2026, in connection with the Private Placement, we entered into a registration rights agreement (the “Registration Rights Agreement”) with the Investors, pursuant to which we agreed to register the New Shares and Warrant Shares for resale (together, the “Registrable Securities”). Under the Registration Rights Agreement, we have agreed to file this registration statement covering the resale of the Registrable Securities by no later than 30 days after the Closing Date (the “Filing Deadline”) and to use reasonable best efforts to cause such registration statement to be declared effective as soon as practicable, but no later than the earlier of (a)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initial filing date of the registration statement if</w:t>
      </w:r>
    </w:p>
    <w:p>
      <w:pPr>
        <w:spacing w:after="0" w:line="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U.S. Securities and Exchange Commission (the “SEC”) notifies us that it will “review” the registration statement and (b)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date we are notified (orally or in writing, whichever is earlier) by the SEC that the initial registration statement will not be “reviewed” or will not be subject to further review(the “Effectiveness Deadline”). We also agreed to use reasonable efforts to keep such registration statement continuously effective until the date the Registrable Securities covered by such registration statement have been sold or may be resold pursuant to Rule 144 without restriction. We have agreed to be responsible for all reasonable fees and expenses incurred in connection with the registration of the Registrable Securities.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the section entitled “Information on the Company – History and development of the company,” incorporated by reference from our Annual Report on Form 20-F for the fiscal year ended December 31, 2025, filed with the SEC on March 17, 2026, as well as any amendments thereto reflected in our subsequent filings with the SEC.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460" w:top="1118"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084695" cy="2361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4695" cy="2361565"/>
                    </a:xfrm>
                    <a:prstGeom prst="rect">
                      <a:avLst/>
                    </a:prstGeom>
                    <a:noFill/>
                  </pic:spPr>
                </pic:pic>
              </a:graphicData>
            </a:graphic>
          </wp:anchor>
        </w:drawing>
        <w:t>Implications of Being a Foreign Private Issuer</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considered a “foreign private issuer” under U.S. securities laws. In our capacity as a foreign private issuer, we are exempt from certain rules under the U.S. Securities Exchange Act of 1934, as amended, or the Exchange Act, that impose certain disclosure obligations and procedural requirements for proxy solicitations under Section 14 of the Exchange Act. In addition, members of our Executive Committee and Board of Directors and our principal securityholders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460" w:top="1116" w:right="5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570"/>
        </w:trPr>
        <w:tc>
          <w:tcPr>
            <w:tcW w:w="4560" w:type="dxa"/>
            <w:vAlign w:val="bottom"/>
            <w:tcBorders>
              <w:top w:val="single" w:sz="8" w:color="auto"/>
              <w:left w:val="single" w:sz="8" w:color="auto"/>
            </w:tcBorders>
          </w:tcPr>
          <w:p>
            <w:pPr>
              <w:spacing w:after="0"/>
              <w:rPr>
                <w:sz w:val="24"/>
                <w:szCs w:val="24"/>
                <w:color w:val="auto"/>
              </w:rPr>
            </w:pPr>
          </w:p>
        </w:tc>
        <w:tc>
          <w:tcPr>
            <w:tcW w:w="660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80" w:type="dxa"/>
            <w:vAlign w:val="bottom"/>
          </w:tcPr>
          <w:p>
            <w:pPr>
              <w:spacing w:after="0"/>
              <w:rPr>
                <w:sz w:val="24"/>
                <w:szCs w:val="24"/>
                <w:color w:val="auto"/>
              </w:rPr>
            </w:pPr>
          </w:p>
        </w:tc>
      </w:tr>
      <w:tr>
        <w:trPr>
          <w:trHeight w:val="630"/>
        </w:trPr>
        <w:tc>
          <w:tcPr>
            <w:tcW w:w="4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Ordinary Shares offered by the selling securityholders</w:t>
            </w: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31,609,140 ordinary shares, consisting of (i) 15,715,323 issued and</w:t>
            </w:r>
          </w:p>
        </w:tc>
        <w:tc>
          <w:tcPr>
            <w:tcW w:w="80" w:type="dxa"/>
            <w:vAlign w:val="bottom"/>
          </w:tcPr>
          <w:p>
            <w:pPr>
              <w:spacing w:after="0"/>
              <w:rPr>
                <w:sz w:val="24"/>
                <w:szCs w:val="24"/>
                <w:color w:val="auto"/>
              </w:rPr>
            </w:pPr>
          </w:p>
        </w:tc>
      </w:tr>
      <w:tr>
        <w:trPr>
          <w:trHeight w:val="216"/>
        </w:trPr>
        <w:tc>
          <w:tcPr>
            <w:tcW w:w="456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outstanding ordinary shares and (ii) 15,893,817 ABSA Warrant Shares</w:t>
            </w:r>
          </w:p>
        </w:tc>
        <w:tc>
          <w:tcPr>
            <w:tcW w:w="80" w:type="dxa"/>
            <w:vAlign w:val="bottom"/>
          </w:tcPr>
          <w:p>
            <w:pPr>
              <w:spacing w:after="0"/>
              <w:rPr>
                <w:sz w:val="18"/>
                <w:szCs w:val="18"/>
                <w:color w:val="auto"/>
              </w:rPr>
            </w:pPr>
          </w:p>
        </w:tc>
      </w:tr>
      <w:tr>
        <w:trPr>
          <w:trHeight w:val="234"/>
        </w:trPr>
        <w:tc>
          <w:tcPr>
            <w:tcW w:w="456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issuable upon the exercise of the ABSA Warrants.</w:t>
            </w:r>
          </w:p>
        </w:tc>
        <w:tc>
          <w:tcPr>
            <w:tcW w:w="80" w:type="dxa"/>
            <w:vAlign w:val="bottom"/>
          </w:tcPr>
          <w:p>
            <w:pPr>
              <w:spacing w:after="0"/>
              <w:rPr>
                <w:sz w:val="20"/>
                <w:szCs w:val="20"/>
                <w:color w:val="auto"/>
              </w:rPr>
            </w:pPr>
          </w:p>
        </w:tc>
      </w:tr>
      <w:tr>
        <w:trPr>
          <w:trHeight w:val="414"/>
        </w:trPr>
        <w:tc>
          <w:tcPr>
            <w:tcW w:w="4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will not receive any proceeds from the sale of the Resale Shares by</w:t>
            </w:r>
          </w:p>
        </w:tc>
        <w:tc>
          <w:tcPr>
            <w:tcW w:w="80" w:type="dxa"/>
            <w:vAlign w:val="bottom"/>
          </w:tcPr>
          <w:p>
            <w:pPr>
              <w:spacing w:after="0"/>
              <w:rPr>
                <w:sz w:val="24"/>
                <w:szCs w:val="24"/>
                <w:color w:val="auto"/>
              </w:rPr>
            </w:pPr>
          </w:p>
        </w:tc>
      </w:tr>
      <w:tr>
        <w:trPr>
          <w:trHeight w:val="216"/>
        </w:trPr>
        <w:tc>
          <w:tcPr>
            <w:tcW w:w="456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selling securityholders, except with respect to amounts received by us</w:t>
            </w:r>
          </w:p>
        </w:tc>
        <w:tc>
          <w:tcPr>
            <w:tcW w:w="80" w:type="dxa"/>
            <w:vAlign w:val="bottom"/>
          </w:tcPr>
          <w:p>
            <w:pPr>
              <w:spacing w:after="0"/>
              <w:rPr>
                <w:sz w:val="18"/>
                <w:szCs w:val="18"/>
                <w:color w:val="auto"/>
              </w:rPr>
            </w:pPr>
          </w:p>
        </w:tc>
      </w:tr>
      <w:tr>
        <w:trPr>
          <w:trHeight w:val="216"/>
        </w:trPr>
        <w:tc>
          <w:tcPr>
            <w:tcW w:w="456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due to the exercise of any ABSA Warrants for cash. We may receive cash</w:t>
            </w:r>
          </w:p>
        </w:tc>
        <w:tc>
          <w:tcPr>
            <w:tcW w:w="80" w:type="dxa"/>
            <w:vAlign w:val="bottom"/>
          </w:tcPr>
          <w:p>
            <w:pPr>
              <w:spacing w:after="0"/>
              <w:rPr>
                <w:sz w:val="18"/>
                <w:szCs w:val="18"/>
                <w:color w:val="auto"/>
              </w:rPr>
            </w:pPr>
          </w:p>
        </w:tc>
      </w:tr>
      <w:tr>
        <w:trPr>
          <w:trHeight w:val="234"/>
        </w:trPr>
        <w:tc>
          <w:tcPr>
            <w:tcW w:w="456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proceeds of up to €47 million from the exercise of the ABSA Warrants.</w:t>
            </w:r>
          </w:p>
        </w:tc>
        <w:tc>
          <w:tcPr>
            <w:tcW w:w="80" w:type="dxa"/>
            <w:vAlign w:val="bottom"/>
          </w:tcPr>
          <w:p>
            <w:pPr>
              <w:spacing w:after="0"/>
              <w:rPr>
                <w:sz w:val="20"/>
                <w:szCs w:val="20"/>
                <w:color w:val="auto"/>
              </w:rPr>
            </w:pPr>
          </w:p>
        </w:tc>
      </w:tr>
      <w:tr>
        <w:trPr>
          <w:trHeight w:val="333"/>
        </w:trPr>
        <w:tc>
          <w:tcPr>
            <w:tcW w:w="4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 of Distribution</w:t>
            </w: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 sell</w:t>
            </w:r>
          </w:p>
        </w:tc>
        <w:tc>
          <w:tcPr>
            <w:tcW w:w="80" w:type="dxa"/>
            <w:vAlign w:val="bottom"/>
          </w:tcPr>
          <w:p>
            <w:pPr>
              <w:spacing w:after="0"/>
              <w:rPr>
                <w:sz w:val="24"/>
                <w:szCs w:val="24"/>
                <w:color w:val="auto"/>
              </w:rPr>
            </w:pPr>
          </w:p>
        </w:tc>
      </w:tr>
      <w:tr>
        <w:trPr>
          <w:trHeight w:val="216"/>
        </w:trPr>
        <w:tc>
          <w:tcPr>
            <w:tcW w:w="456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Resale Shares offered in this prospectus, as described in “Plan of</w:t>
            </w:r>
          </w:p>
        </w:tc>
        <w:tc>
          <w:tcPr>
            <w:tcW w:w="80" w:type="dxa"/>
            <w:vAlign w:val="bottom"/>
          </w:tcPr>
          <w:p>
            <w:pPr>
              <w:spacing w:after="0"/>
              <w:rPr>
                <w:sz w:val="18"/>
                <w:szCs w:val="18"/>
                <w:color w:val="auto"/>
              </w:rPr>
            </w:pPr>
          </w:p>
        </w:tc>
      </w:tr>
      <w:tr>
        <w:trPr>
          <w:trHeight w:val="234"/>
        </w:trPr>
        <w:tc>
          <w:tcPr>
            <w:tcW w:w="456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Distribution.”</w:t>
            </w:r>
          </w:p>
        </w:tc>
        <w:tc>
          <w:tcPr>
            <w:tcW w:w="80" w:type="dxa"/>
            <w:vAlign w:val="bottom"/>
          </w:tcPr>
          <w:p>
            <w:pPr>
              <w:spacing w:after="0"/>
              <w:rPr>
                <w:sz w:val="20"/>
                <w:szCs w:val="20"/>
                <w:color w:val="auto"/>
              </w:rPr>
            </w:pPr>
          </w:p>
        </w:tc>
      </w:tr>
      <w:tr>
        <w:trPr>
          <w:trHeight w:val="333"/>
        </w:trPr>
        <w:tc>
          <w:tcPr>
            <w:tcW w:w="4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See “Risk Factors” beginning on page 6 and the other information</w:t>
            </w:r>
          </w:p>
        </w:tc>
        <w:tc>
          <w:tcPr>
            <w:tcW w:w="80" w:type="dxa"/>
            <w:vAlign w:val="bottom"/>
          </w:tcPr>
          <w:p>
            <w:pPr>
              <w:spacing w:after="0"/>
              <w:rPr>
                <w:sz w:val="24"/>
                <w:szCs w:val="24"/>
                <w:color w:val="auto"/>
              </w:rPr>
            </w:pPr>
          </w:p>
        </w:tc>
      </w:tr>
      <w:tr>
        <w:trPr>
          <w:trHeight w:val="216"/>
        </w:trPr>
        <w:tc>
          <w:tcPr>
            <w:tcW w:w="456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 xml:space="preserve">included in this prospectus </w:t>
            </w:r>
            <w:r>
              <w:rPr>
                <w:rFonts w:ascii="Times New Roman" w:cs="Times New Roman" w:eastAsia="Times New Roman" w:hAnsi="Times New Roman"/>
                <w:sz w:val="18"/>
                <w:szCs w:val="18"/>
                <w:color w:val="auto"/>
                <w:highlight w:val="white"/>
              </w:rPr>
              <w:t>and incorporated by reference</w:t>
            </w:r>
            <w:r>
              <w:rPr>
                <w:rFonts w:ascii="Times New Roman" w:cs="Times New Roman" w:eastAsia="Times New Roman" w:hAnsi="Times New Roman"/>
                <w:sz w:val="18"/>
                <w:szCs w:val="18"/>
                <w:color w:val="auto"/>
              </w:rPr>
              <w:t xml:space="preserve"> for a discussion</w:t>
            </w:r>
          </w:p>
        </w:tc>
        <w:tc>
          <w:tcPr>
            <w:tcW w:w="80" w:type="dxa"/>
            <w:vAlign w:val="bottom"/>
          </w:tcPr>
          <w:p>
            <w:pPr>
              <w:spacing w:after="0"/>
              <w:rPr>
                <w:sz w:val="18"/>
                <w:szCs w:val="18"/>
                <w:color w:val="auto"/>
              </w:rPr>
            </w:pPr>
          </w:p>
        </w:tc>
      </w:tr>
      <w:tr>
        <w:trPr>
          <w:trHeight w:val="216"/>
        </w:trPr>
        <w:tc>
          <w:tcPr>
            <w:tcW w:w="456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of factors you should carefully consider before deciding to invest in our</w:t>
            </w:r>
          </w:p>
        </w:tc>
        <w:tc>
          <w:tcPr>
            <w:tcW w:w="80" w:type="dxa"/>
            <w:vAlign w:val="bottom"/>
          </w:tcPr>
          <w:p>
            <w:pPr>
              <w:spacing w:after="0"/>
              <w:rPr>
                <w:sz w:val="18"/>
                <w:szCs w:val="18"/>
                <w:color w:val="auto"/>
              </w:rPr>
            </w:pPr>
          </w:p>
        </w:tc>
      </w:tr>
      <w:tr>
        <w:trPr>
          <w:trHeight w:val="234"/>
        </w:trPr>
        <w:tc>
          <w:tcPr>
            <w:tcW w:w="456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common shares.</w:t>
            </w:r>
          </w:p>
        </w:tc>
        <w:tc>
          <w:tcPr>
            <w:tcW w:w="80" w:type="dxa"/>
            <w:vAlign w:val="bottom"/>
          </w:tcPr>
          <w:p>
            <w:pPr>
              <w:spacing w:after="0"/>
              <w:rPr>
                <w:sz w:val="20"/>
                <w:szCs w:val="20"/>
                <w:color w:val="auto"/>
              </w:rPr>
            </w:pPr>
          </w:p>
        </w:tc>
      </w:tr>
      <w:tr>
        <w:trPr>
          <w:trHeight w:val="432"/>
        </w:trPr>
        <w:tc>
          <w:tcPr>
            <w:tcW w:w="4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Nasdaq Global Market symbol for ADS</w:t>
            </w: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“VALN”</w:t>
            </w:r>
          </w:p>
        </w:tc>
        <w:tc>
          <w:tcPr>
            <w:tcW w:w="80" w:type="dxa"/>
            <w:vAlign w:val="bottom"/>
          </w:tcPr>
          <w:p>
            <w:pPr>
              <w:spacing w:after="0"/>
              <w:rPr>
                <w:sz w:val="24"/>
                <w:szCs w:val="24"/>
                <w:color w:val="auto"/>
              </w:rPr>
            </w:pPr>
          </w:p>
        </w:tc>
      </w:tr>
      <w:tr>
        <w:trPr>
          <w:trHeight w:val="432"/>
        </w:trPr>
        <w:tc>
          <w:tcPr>
            <w:tcW w:w="4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Euronext Paris symbol for ordinary shares</w:t>
            </w:r>
          </w:p>
        </w:tc>
        <w:tc>
          <w:tcPr>
            <w:tcW w:w="66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“VAL”</w:t>
            </w:r>
          </w:p>
        </w:tc>
        <w:tc>
          <w:tcPr>
            <w:tcW w:w="80" w:type="dxa"/>
            <w:vAlign w:val="bottom"/>
          </w:tcPr>
          <w:p>
            <w:pPr>
              <w:spacing w:after="0"/>
              <w:rPr>
                <w:sz w:val="24"/>
                <w:szCs w:val="24"/>
                <w:color w:val="auto"/>
              </w:rPr>
            </w:pPr>
          </w:p>
        </w:tc>
      </w:tr>
      <w:tr>
        <w:trPr>
          <w:trHeight w:val="348"/>
        </w:trPr>
        <w:tc>
          <w:tcPr>
            <w:tcW w:w="4560" w:type="dxa"/>
            <w:vAlign w:val="bottom"/>
            <w:tcBorders>
              <w:left w:val="single" w:sz="8" w:color="auto"/>
              <w:bottom w:val="single" w:sz="8" w:color="auto"/>
            </w:tcBorders>
          </w:tcPr>
          <w:p>
            <w:pPr>
              <w:spacing w:after="0"/>
              <w:rPr>
                <w:sz w:val="24"/>
                <w:szCs w:val="24"/>
                <w:color w:val="auto"/>
              </w:rPr>
            </w:pPr>
          </w:p>
        </w:tc>
        <w:tc>
          <w:tcPr>
            <w:tcW w:w="660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571"/>
        </w:trPr>
        <w:tc>
          <w:tcPr>
            <w:tcW w:w="45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review the risks and uncertainties described below and under the heading “Risk Factors” in our Annual Report on Form 20-F for the year ended December 31, 2025 as updated by our subsequent filings including our Reports on Form 6-K, which are incorporated by reference into this prospectus, before deciding whether to purchase any of the securities being registered pursuant to the registration statement of which this prospectus is a part. The risk factors included in our Annual Report include a discussion of specific risks related to an investment in, and ownership of, ADSs under the caption “- Risks related to Ownership of Our Ordinary Shares and ADSs.”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our securities may be sold in the market following the effective date of the registration statement of which this prospectus forms a part, which may depress the market price for our ADSs.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our securities in the public market following the effective date of the registration statement of which this prospectus forms a part could cause the market price of our common stock to decline.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Discussions containing these forward-looking statements may be found, among other places, in the sections titled “Information on the Company,” “Risk Factors” and “Operating and Financial Review and Prospects” incorporated by reference from our most recent Annual Report on Form 20-F and our interim financial reports furnished on Form 6-K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statements other than present and historical facts and conditions contained in this prospectus, including statements regarding our future results of operations and financial positions,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Forward-looking statements include, but are not limited to, statements about:</w:t>
      </w:r>
    </w:p>
    <w:p>
      <w:pPr>
        <w:spacing w:after="0" w:line="183"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expected outcomes of clinical trials and pre-clinical studies, particularly with respect to the ongoing and planned clinical trials of our chikungunya vaccine VLA1553 (licensed in some territories as IXCHIQ), and the ongoing Phase 2 trials of the shigellosis vaccine candidate S4V2;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timing, and expected outcomes of regulatory filings and approvals, including, in the short-term, potential approval of the chikungunya vaccine candidate VLA1553 or locally manufactured versions thereof in other markets and the potential filings and approvals of VLA15 and in the mid- to long-term, potential filings and approvals of S4V2;</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and effectiveness of our vaccine candidates in development and new safety data related to our approved vaccines, particularly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IXCHIQ;</w:t>
      </w:r>
    </w:p>
    <w:p>
      <w:pPr>
        <w:spacing w:after="0" w:line="2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market IXCHIQ in Europe, Canada, the UK, and other markets where it is or may be approved and to establish partnerships for the manufacturing, marketing, and distribution of IXCHIQ in endemic or high-risk areas, particularly in Asia;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Pfizer’s regulatory and commercialization plans for our Lyme disease candidate;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effective restructuring and cost-savings measures and maintain business continuity in case of unfavorable developments related to our vaccine candidates or existing products;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for sales of our approved commercial products and estimates of market opportunity and future revenues for our vaccine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develop, and advance our pipeline of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a sufficient, compliant, and timely quantity of our products and product candidates and to safely and effectively scale up our manufacturing capabilities;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profitability of our collaborations and partnerships, our ability to maintain our current collaborations and partnerships and our ability to enter into new collaborations and partnerships, to support our business plans;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developments in the United States, Europe, and other countries, including in particular regulatory developments relating to tariffs and the review and approval of vaccine candidates in the United States and elsewhere;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future milestone and royalty payments and other revenue under our collaborations and partnerships, particularly the partnership with Pfizer for VLA15;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obligations under our various collaboration, partnership, and distribution arrangements;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pandemics on our sales and operations, including our expectations and assumptions regarding the resumption of travel and the future demand for travel vaccines;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proprietary technologies and to operate our business without infringing the intellectual property rights and proprietary technology of third parties;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future revenue, cash situation, hiring plans, expenses, capital expenditures, capital requirements, stock performance, and financing opportunities;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prospectus under the caption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refer to the “Risk Factors” included in this prospectus, any applicable prospectus supplement and any free-writing prospectus, and under similar headings in the other documents incorporated herein,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any free writing prospectuses that we may authorize for use in connection with an offering and the documents that we reference in this prospectus and have filed as exhibits to the registration statement of which this prospectus is a part completely and with the understanding that our actual future results may be materially different from what we expect.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Resale Shares in this offering, except with respect to amounts received by us due to the exercise of any ABSA Warrants for cash. We could potentially receive up to €47 million in proceeds from the exercise of the ABSA Warrants, as described herein, assuming the exercise in full of all of such ABSA Warrants for cash. There is no assurance that the holders of the ABSA Warrants will elect to exercise any or all of such ABSA Warrants. The selling securityholders will receive all of the proceeds from the sale of Resale Shares hereunder.</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currently intend to use the net proceeds from the exercise of any ABSA Warrants for cash, if any, to fund manufacturing, commercialization, and research and development of our products and product candidates, for working capital and for general corporate purposes.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of the Resale Shares and any of their donees, pledgees, transferees or other successors-in-interest selling the Resale Shares received after the date of this prospectus from a selling securityholder as a gift, pledge, partnership distribution or other transfer, may, from time to time, sell, transfer or otherwise dispose of any or all of their Resale Shares covered hereby on any stock exchange, market or trading facility on which the Resale Shares are traded or in private transactions. These dispositions may be at fixed prices, at prevailing market prices at the time of sale, at prices related to the prevailing market prices, at varying prices determined at the time of sale, or at negotiated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their securities or interests therein:</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securityholders of the selling securityholders;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ordinary shares or ADSs as agent, but may position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dealers who may agree with the selling securityholders to sell a specified number of such securities at a stipulated price per ordinary share or ADSs;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or all of the Resale Securities owned by them and, if a selling securityholder defaults in the performance of its secured obligations, the pledgees or secured parties may offer and sell the Resale Securities, from time to time, under this prospectus, or under an amendment to this prospectus under Rule 424(b)(3) or other applicable provision of the Securities Ace, amending the list of the selling securityholders under this prospectus. The selling securityholders also may transfer the Resale Securities in other circumstances, in which case the transferees, pledgees, or other successors in interest will be the selling securityholders for purposes of this prospectus.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Resale Securities or interests therein, the selling securityholders may enter into hedging transactions with broker-dealers or other financial institutions, which may in turn engage in short sales of the Resale Securities in the course of hedging the positions they assume. The selling securityholders may also sell the Resale Securities short and deliver these securities to close out their short positions, or loan or pledge the Resale Securities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or the creation of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Resale Securities offered by them will be the purchase price of the Resale Securities, less discounts or commissions, if any. Each of the selling securityholders reserves the right to accept and, together with their agents from time to time, to reject, in whole or in part, any proposed purchase of Resale Securities to be made directly or through agents. We will not receive any of the proceeds from any offering by the selling securityholders. Upon any exercise of the Warrants by payment of cash, however, we will receive the exercise price of the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also may resell a portion of the Resale Securities in open-market transactions in reliance upon Rule 144 under the Securities Act, provided that they meet the criteria and conform to the requirements of that rule, or another available exemption from the registration requirement sunder the Securities Act.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sale of the Resale Securities or interests therein may be “underwriters” within the meaning of Section 2(a)(11) of the Securities Act (it being understood that the selling securityholders shall not be deemed to be underwriters solely as a result of their participation in this offering). Any discounts, commissions, concessions, or profit they earn on any resale of the Resale Securities may be underwriting discounts and commissions under the Securities Act. Selling securityholders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number of Resale Securities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Resale Securities may be sold in these jurisdictions only through registered or licensed brokers or dealers. In addition, in some states the Resale Securities may not be sold unless such securities have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Resale Securities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Resale Securities against certain liabilities, including liabilities arising under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liabilities, including liabilities under the Securities Act and state securities laws, relating to the registration of the Resale Securities offered by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securityholders to use commercially reasonable efforts to cause the registration statement of which this prospectus constitutes a part to become effective and to remain continuously effective until the earlier of: (i) the date on which the selling securityholders shall have resold or otherwise disposed of all the Resale Securities covered by this prospectus and (ii) the date on which the Resale Securities covered by this prospectus no longer constitute “Registrable Securities” as such term is defined in the Registration Rights Agreement, such that they may be resold by the selling securityholders without registration and without regard to any volume or manner-of-sale limitations and without current public information pursuant to Rule 144 under the Securities Act or any other rule of similar effect.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our share capital and articles of association, please refer to the full text of our articles of association and the description of securities filed as Exhibits 1.1 and 2.3, respectively, to our Annual Report on Form 20-F for the fiscal year ended December 31, 2025, filed with the SEC on March 17, 2026, as well as any amendments thereto reflected in our subsequent filings with the SEC, all of which are incorporated by reference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our American Depositary Shares, please refer to the information under the heading “American Depositary Shares” in our description of securities filed as Exhibit 2.3 to our Annual Report on Form 20-F for the fiscal year ended December 31, 2025, filed with the SEC on March 17, 2026, as well as any amendments thereto reflected in our subsequent filings with the SEC, all of which are incorporated by reference herein.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prepared this prospectus to allow the selling securityholders to offer and sell from time to time for their own account up to 31,609,140 Resale Shares, which may be in the form of ADSs, consisting of (i) up to 15,715,323 issued and outstanding ordinary shares and (ii) up to 15,893,817 ABSA Warrant Shares issuable upon the exercise of the ABSA Warrants.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registering the offer and sale of the Resale Shares beneficially owned by the selling securityholders to satisfy our obligations to them pursuant to a registration rights agreement dated April 29, 2026 (the “Registration Rights Agreement”) by and among the Company and the selling securityholders. Pursuant to the Registration Rights Agreement, we have agreed to prepare and file a registration statement with the SEC within 30 days following the Closing Date (as defined in the Securities Purchase Agreement). We have also agreed to use our reasonable best efforts to keep the registration statement continuously effective pursuant to Rule 415 and available for the resale by the selling securityholders until the earlier to occur of: (i) the date on which the selling securityholders have resold all of the Registrable Securities (as defined in the Registration Rights Agreement) , and (ii) the date on which all of the Registrable Securities may be resold by the selling securityholders without registration and without regard to any volume or manner-of-sale limitations by reason of Rule 144, without the requirement for the Company to be in compliance with the current public information requirement under Rule 144.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our knowledge, none of the selling securityholders has, or during the three years prior to the date of this prospectus has had, any position, office or other material relationships with us or any of our affiliates, except that we and each selling securityholders are party to the Registration Rights Agreement relating to the Resale Shares described above. To our knowledge, based on information provided to us, none of the selling securityholders that are affiliates of broker-dealers purchased the Resale Shares outside the ordinary course of business, nor at the time of the acquisition did any selling securityholder have direct or indirect agreements or understandings with any person to distribute any ordinary shares, including the Resale Shares.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set forth in the table below is based upon information obtained from the selling securityholders. Beneficial ownership of the selling securityholders is determined in accordance with Rule 13d-3(d) under the Exchange Act. The percentage of shares beneficially owned prior to the offering is based on 189,771,237 ordinary shares outstanding as of May 31, 2026, after giving effect to the issuance of 15,893,817 ordinary shares issued on May 5, 2026 pursuant to the Securities Purchase Agreement, but excluding 15,893,817 ABSA Warrant Shares. The percentage of shares beneficially owned after the offering assumes the sale of all Resale Shares offered by the selling securityholders, including all ABSA Warrant Shares, pursuant to this prospectus and no further acquisitions of our securities by the selling securityholders. In computing the number of ordinary shares beneficially owned by a selling securityholder and the percentage ownership of such selling securityholder, we deemed outstanding ordinary shares issuable upon exercise of the ABSA Warrants, as applicable, held by that selling securityholder that are exercisable within 60 days of May 31, 2026. We did not deem these ordinary shares outstanding, however, for the purpose of computing the percentage ownership of any other selling securityholder.</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number of ordinary shares set forth in the following table for any selling shareholder reflects the exercise limitations as set forth in the ABSA Warrants. The ABSA Warrants provide that the holder of ABSA Warrants will not have the right to exercise any portion of its ABSA Warrants if such holder, together with its affiliates, would beneficially own in excess of 9.99% of the number of ordinary shares outstanding immediately after giving effect to such exercise (the “Beneficial Ownership Limitation”). The holder may increase or decrease the Beneficial Ownership Limitation, provided, however, that the holder may only increase the Beneficial Ownership Limitation (i) by obtaining authorization from the French Ministry of Economy in the event the Beneficial Ownership Limitation is being raised above 9.99%, (ii) by providing 61 days’ notice to the Company, except that in no event will the Beneficial Ownership Limitation exceed (i) with respect to the limitations under Section 13(d) of the Exchange Act, 19.99% of our ordinary shares and (ii) with respect to the French regime for control of foreign direct investments, 24.99% of the voting rights. Accordingly, the number of ordinary shares set forth in the following table for any shareholder may exceed the number of ordinary shares that it could own beneficially at any given time as a result of its ownership of ABSA Warrant Shares. As a result, the actual number of ABSA Warrant Shares that may be issued to and sold by the selling securityholders could be materially less than the estimated numbers in the column titled “Number of Shares Being Offered” depending on factors which cannot be predicted by us at this time. In addition, we do not know how long the selling securityholders will hold the Resale Shares before selling them, and we currently have no agreements, arrangements or understandings with the selling securityholders regarding the sale or other disposition of any Resale Shares.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As used in this prospectus, the term “selling securityholders” includes the selling securityholders listed in the table below, together with any additional selling securityholders listed in a prospectus supplement, and their donees, pledgees, assignees, transferees, distributees and successors-in-interest that receive Resale Shares in any non-sale transfer after the date of this prospectus. Unless otherwise indicated, the address for each selling securityholder is c/o Valneva SE, Îlot Saint Joseph Bureaux Convergence, 12T Quai Perrache, 69002 Lyon, France.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BDD6EE"/>
          </w:tcPr>
          <w:p>
            <w:pPr>
              <w:spacing w:after="0"/>
              <w:rPr>
                <w:sz w:val="17"/>
                <w:szCs w:val="17"/>
                <w:color w:val="auto"/>
              </w:rPr>
            </w:pP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1400" w:type="dxa"/>
            <w:vAlign w:val="bottom"/>
            <w:shd w:val="clear" w:color="auto" w:fill="BDD6EE"/>
          </w:tcPr>
          <w:p>
            <w:pPr>
              <w:spacing w:after="0"/>
              <w:rPr>
                <w:sz w:val="17"/>
                <w:szCs w:val="17"/>
                <w:color w:val="auto"/>
              </w:rPr>
            </w:pP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16"/>
        </w:trPr>
        <w:tc>
          <w:tcPr>
            <w:tcW w:w="3860" w:type="dxa"/>
            <w:vAlign w:val="bottom"/>
            <w:shd w:val="clear" w:color="auto" w:fill="BDD6EE"/>
          </w:tcPr>
          <w:p>
            <w:pPr>
              <w:spacing w:after="0"/>
              <w:rPr>
                <w:sz w:val="18"/>
                <w:szCs w:val="18"/>
                <w:color w:val="auto"/>
              </w:rPr>
            </w:pP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3860" w:type="dxa"/>
            <w:vAlign w:val="bottom"/>
            <w:shd w:val="clear" w:color="auto" w:fill="BDD6EE"/>
          </w:tcPr>
          <w:p>
            <w:pPr>
              <w:spacing w:after="0"/>
              <w:rPr>
                <w:sz w:val="18"/>
                <w:szCs w:val="18"/>
                <w:color w:val="auto"/>
              </w:rPr>
            </w:pP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Beneficially</w:t>
            </w:r>
          </w:p>
        </w:tc>
      </w:tr>
      <w:tr>
        <w:trPr>
          <w:trHeight w:val="216"/>
        </w:trPr>
        <w:tc>
          <w:tcPr>
            <w:tcW w:w="3860" w:type="dxa"/>
            <w:vAlign w:val="bottom"/>
            <w:shd w:val="clear" w:color="auto" w:fill="BDD6EE"/>
          </w:tcPr>
          <w:p>
            <w:pPr>
              <w:spacing w:after="0"/>
              <w:rPr>
                <w:sz w:val="18"/>
                <w:szCs w:val="18"/>
                <w:color w:val="auto"/>
              </w:rPr>
            </w:pP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b w:val="1"/>
                <w:bCs w:val="1"/>
                <w:color w:val="auto"/>
              </w:rPr>
              <w:t>Owned Prior to</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Owned Prior to</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Registered for</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auto"/>
              </w:rPr>
              <w:t>Owned After the</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b w:val="1"/>
                <w:bCs w:val="1"/>
                <w:color w:val="auto"/>
              </w:rPr>
              <w:t>Owned After the</w:t>
            </w:r>
          </w:p>
        </w:tc>
      </w:tr>
      <w:tr>
        <w:trPr>
          <w:trHeight w:val="238"/>
        </w:trPr>
        <w:tc>
          <w:tcPr>
            <w:tcW w:w="386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540" w:type="dxa"/>
            <w:vAlign w:val="bottom"/>
            <w:tcBorders>
              <w:bottom w:val="single" w:sz="8" w:color="auto"/>
            </w:tcBorders>
            <w:shd w:val="clear" w:color="auto" w:fill="BDD6EE"/>
          </w:tcPr>
          <w:p>
            <w:pPr>
              <w:ind w:left="2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480" w:type="dxa"/>
            <w:vAlign w:val="bottom"/>
            <w:tcBorders>
              <w:bottom w:val="single" w:sz="8" w:color="auto"/>
            </w:tcBorders>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400" w:type="dxa"/>
            <w:vAlign w:val="bottom"/>
            <w:tcBorders>
              <w:bottom w:val="single" w:sz="8" w:color="auto"/>
            </w:tcBorders>
            <w:shd w:val="clear" w:color="auto" w:fill="BDD6EE"/>
          </w:tcPr>
          <w:p>
            <w:pPr>
              <w:ind w:left="140"/>
              <w:spacing w:after="0"/>
              <w:rPr>
                <w:sz w:val="20"/>
                <w:szCs w:val="20"/>
                <w:color w:val="auto"/>
              </w:rPr>
            </w:pPr>
            <w:r>
              <w:rPr>
                <w:rFonts w:ascii="Times New Roman" w:cs="Times New Roman" w:eastAsia="Times New Roman" w:hAnsi="Times New Roman"/>
                <w:sz w:val="18"/>
                <w:szCs w:val="18"/>
                <w:b w:val="1"/>
                <w:bCs w:val="1"/>
                <w:color w:val="auto"/>
              </w:rPr>
              <w:t>Sale Hereby</w:t>
            </w:r>
          </w:p>
        </w:tc>
        <w:tc>
          <w:tcPr>
            <w:tcW w:w="1540" w:type="dxa"/>
            <w:vAlign w:val="bottom"/>
            <w:tcBorders>
              <w:bottom w:val="single" w:sz="8" w:color="auto"/>
            </w:tcBorders>
            <w:shd w:val="clear" w:color="auto" w:fill="BDD6EE"/>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1420" w:type="dxa"/>
            <w:vAlign w:val="bottom"/>
            <w:tcBorders>
              <w:bottom w:val="single" w:sz="8" w:color="auto"/>
            </w:tcBorders>
            <w:shd w:val="clear" w:color="auto" w:fill="BDD6EE"/>
          </w:tcPr>
          <w:p>
            <w:pPr>
              <w:ind w:left="80"/>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250"/>
        </w:trPr>
        <w:tc>
          <w:tcPr>
            <w:tcW w:w="386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Frazier Life Sciences Public Fund, L.P</w:t>
            </w:r>
            <w:r>
              <w:rPr>
                <w:rFonts w:ascii="Times New Roman" w:cs="Times New Roman" w:eastAsia="Times New Roman" w:hAnsi="Times New Roman"/>
                <w:sz w:val="28"/>
                <w:szCs w:val="28"/>
                <w:color w:val="auto"/>
                <w:vertAlign w:val="superscript"/>
              </w:rPr>
              <w:t>(1)</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6,879,516</w:t>
            </w:r>
          </w:p>
        </w:tc>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3.6%</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6,511,868</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3,623,582</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w:t>
            </w:r>
          </w:p>
        </w:tc>
      </w:tr>
      <w:tr>
        <w:trPr>
          <w:trHeight w:val="310"/>
        </w:trPr>
        <w:tc>
          <w:tcPr>
            <w:tcW w:w="3860" w:type="dxa"/>
            <w:vAlign w:val="bottom"/>
            <w:shd w:val="clear" w:color="auto" w:fill="BDD6EE"/>
          </w:tcPr>
          <w:p>
            <w:pPr>
              <w:spacing w:after="0" w:line="310" w:lineRule="exact"/>
              <w:rPr>
                <w:sz w:val="20"/>
                <w:szCs w:val="20"/>
                <w:color w:val="auto"/>
              </w:rPr>
            </w:pPr>
            <w:r>
              <w:rPr>
                <w:rFonts w:ascii="Times New Roman" w:cs="Times New Roman" w:eastAsia="Times New Roman" w:hAnsi="Times New Roman"/>
                <w:sz w:val="18"/>
                <w:szCs w:val="18"/>
                <w:color w:val="auto"/>
              </w:rPr>
              <w:t>Frazier Life Sciences XI, L.P.</w:t>
            </w:r>
            <w:r>
              <w:rPr>
                <w:rFonts w:ascii="Times New Roman" w:cs="Times New Roman" w:eastAsia="Times New Roman" w:hAnsi="Times New Roman"/>
                <w:sz w:val="29"/>
                <w:szCs w:val="29"/>
                <w:color w:val="auto"/>
                <w:vertAlign w:val="superscript"/>
              </w:rPr>
              <w:t>(2)</w:t>
            </w: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color w:val="auto"/>
              </w:rPr>
              <w:t>337,989</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60,894</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color w:val="auto"/>
              </w:rPr>
              <w:t>307,542</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386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Frazier Life Sciences XII, L.P.</w:t>
            </w:r>
            <w:r>
              <w:rPr>
                <w:rFonts w:ascii="Times New Roman" w:cs="Times New Roman" w:eastAsia="Times New Roman" w:hAnsi="Times New Roman"/>
                <w:sz w:val="29"/>
                <w:szCs w:val="29"/>
                <w:color w:val="auto"/>
                <w:vertAlign w:val="superscript"/>
              </w:rPr>
              <w:t>(3)</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918,572</w:t>
            </w:r>
          </w:p>
        </w:tc>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763,728</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536,708</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3860" w:type="dxa"/>
            <w:vAlign w:val="bottom"/>
            <w:shd w:val="clear" w:color="auto" w:fill="BDD6EE"/>
          </w:tcPr>
          <w:p>
            <w:pPr>
              <w:spacing w:after="0" w:line="310" w:lineRule="exact"/>
              <w:rPr>
                <w:sz w:val="20"/>
                <w:szCs w:val="20"/>
                <w:color w:val="auto"/>
              </w:rPr>
            </w:pPr>
            <w:r>
              <w:rPr>
                <w:rFonts w:ascii="Times New Roman" w:cs="Times New Roman" w:eastAsia="Times New Roman" w:hAnsi="Times New Roman"/>
                <w:sz w:val="18"/>
                <w:szCs w:val="18"/>
                <w:color w:val="auto"/>
              </w:rPr>
              <w:t>Deep Track Biotechnology Master Fund, Ltd.</w:t>
            </w:r>
            <w:r>
              <w:rPr>
                <w:rFonts w:ascii="Times New Roman" w:cs="Times New Roman" w:eastAsia="Times New Roman" w:hAnsi="Times New Roman"/>
                <w:sz w:val="29"/>
                <w:szCs w:val="29"/>
                <w:color w:val="auto"/>
                <w:vertAlign w:val="superscript"/>
              </w:rPr>
              <w:t>(4)</w:t>
            </w: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color w:val="auto"/>
              </w:rPr>
              <w:t>2,901,471</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5,802,942</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386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Entities affiliated with TCG Crossover</w:t>
            </w:r>
            <w:r>
              <w:rPr>
                <w:rFonts w:ascii="Times New Roman" w:cs="Times New Roman" w:eastAsia="Times New Roman" w:hAnsi="Times New Roman"/>
                <w:sz w:val="29"/>
                <w:szCs w:val="29"/>
                <w:color w:val="auto"/>
                <w:vertAlign w:val="superscript"/>
              </w:rPr>
              <w:t>(5)</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2,901,471</w:t>
            </w:r>
          </w:p>
        </w:tc>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5,802,942</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3860" w:type="dxa"/>
            <w:vAlign w:val="bottom"/>
            <w:shd w:val="clear" w:color="auto" w:fill="BDD6EE"/>
          </w:tcPr>
          <w:p>
            <w:pPr>
              <w:spacing w:after="0" w:line="310" w:lineRule="exact"/>
              <w:rPr>
                <w:sz w:val="20"/>
                <w:szCs w:val="20"/>
                <w:color w:val="auto"/>
              </w:rPr>
            </w:pPr>
            <w:r>
              <w:rPr>
                <w:rFonts w:ascii="Times New Roman" w:cs="Times New Roman" w:eastAsia="Times New Roman" w:hAnsi="Times New Roman"/>
                <w:sz w:val="18"/>
                <w:szCs w:val="18"/>
                <w:color w:val="auto"/>
              </w:rPr>
              <w:t>Cormorant Global Healthcare Master Fund, LP</w:t>
            </w:r>
            <w:r>
              <w:rPr>
                <w:rFonts w:ascii="Times New Roman" w:cs="Times New Roman" w:eastAsia="Times New Roman" w:hAnsi="Times New Roman"/>
                <w:sz w:val="29"/>
                <w:szCs w:val="29"/>
                <w:color w:val="auto"/>
                <w:vertAlign w:val="superscript"/>
              </w:rPr>
              <w:t>(6)</w:t>
            </w: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color w:val="auto"/>
              </w:rPr>
              <w:t>1,813,419</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3,626,838</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386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Entities affiliated with Vivo Opportunity</w:t>
            </w:r>
            <w:r>
              <w:rPr>
                <w:rFonts w:ascii="Times New Roman" w:cs="Times New Roman" w:eastAsia="Times New Roman" w:hAnsi="Times New Roman"/>
                <w:sz w:val="29"/>
                <w:szCs w:val="29"/>
                <w:color w:val="auto"/>
                <w:vertAlign w:val="superscript"/>
              </w:rPr>
              <w:t>(7)</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1,526,398</w:t>
            </w:r>
          </w:p>
        </w:tc>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3,052,796</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3860" w:type="dxa"/>
            <w:vAlign w:val="bottom"/>
            <w:shd w:val="clear" w:color="auto" w:fill="BDD6EE"/>
          </w:tcPr>
          <w:p>
            <w:pPr>
              <w:spacing w:after="0" w:line="310" w:lineRule="exact"/>
              <w:rPr>
                <w:sz w:val="20"/>
                <w:szCs w:val="20"/>
                <w:color w:val="auto"/>
              </w:rPr>
            </w:pPr>
            <w:r>
              <w:rPr>
                <w:rFonts w:ascii="Times New Roman" w:cs="Times New Roman" w:eastAsia="Times New Roman" w:hAnsi="Times New Roman"/>
                <w:sz w:val="18"/>
                <w:szCs w:val="18"/>
                <w:color w:val="auto"/>
              </w:rPr>
              <w:t>Perceptive Life Sciences Master Fund, Ltd.</w:t>
            </w:r>
            <w:r>
              <w:rPr>
                <w:rFonts w:ascii="Times New Roman" w:cs="Times New Roman" w:eastAsia="Times New Roman" w:hAnsi="Times New Roman"/>
                <w:sz w:val="29"/>
                <w:szCs w:val="29"/>
                <w:color w:val="auto"/>
                <w:vertAlign w:val="superscript"/>
              </w:rPr>
              <w:t>(8)</w:t>
            </w: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color w:val="auto"/>
              </w:rPr>
              <w:t>1,450,735</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2,901,470</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386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Entities affiliated with Samsara BioCapital, L.P.</w:t>
            </w:r>
            <w:r>
              <w:rPr>
                <w:rFonts w:ascii="Times New Roman" w:cs="Times New Roman" w:eastAsia="Times New Roman" w:hAnsi="Times New Roman"/>
                <w:sz w:val="29"/>
                <w:szCs w:val="29"/>
                <w:color w:val="auto"/>
                <w:vertAlign w:val="superscript"/>
              </w:rPr>
              <w:t>(9)</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728,216</w:t>
            </w:r>
          </w:p>
        </w:tc>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1,634,926</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3860" w:type="dxa"/>
            <w:vAlign w:val="bottom"/>
            <w:shd w:val="clear" w:color="auto" w:fill="BDD6EE"/>
          </w:tcPr>
          <w:p>
            <w:pPr>
              <w:spacing w:after="0" w:line="310" w:lineRule="exact"/>
              <w:rPr>
                <w:sz w:val="20"/>
                <w:szCs w:val="20"/>
                <w:color w:val="auto"/>
              </w:rPr>
            </w:pPr>
            <w:r>
              <w:rPr>
                <w:rFonts w:ascii="Times New Roman" w:cs="Times New Roman" w:eastAsia="Times New Roman" w:hAnsi="Times New Roman"/>
                <w:sz w:val="18"/>
                <w:szCs w:val="18"/>
                <w:color w:val="auto"/>
              </w:rPr>
              <w:t>Nantahala Capital Partners Limited Partnership</w:t>
            </w:r>
            <w:r>
              <w:rPr>
                <w:rFonts w:ascii="Times New Roman" w:cs="Times New Roman" w:eastAsia="Times New Roman" w:hAnsi="Times New Roman"/>
                <w:sz w:val="29"/>
                <w:szCs w:val="29"/>
                <w:color w:val="auto"/>
                <w:vertAlign w:val="superscript"/>
              </w:rPr>
              <w:t>(10)</w:t>
            </w: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color w:val="auto"/>
              </w:rPr>
              <w:t>255,985</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511,970</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386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NCP RFM LP</w:t>
            </w:r>
            <w:r>
              <w:rPr>
                <w:rFonts w:ascii="Times New Roman" w:cs="Times New Roman" w:eastAsia="Times New Roman" w:hAnsi="Times New Roman"/>
                <w:sz w:val="29"/>
                <w:szCs w:val="29"/>
                <w:color w:val="auto"/>
                <w:vertAlign w:val="superscript"/>
              </w:rPr>
              <w:t>(11)</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85,901</w:t>
            </w:r>
          </w:p>
        </w:tc>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171,802</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3860" w:type="dxa"/>
            <w:vAlign w:val="bottom"/>
            <w:shd w:val="clear" w:color="auto" w:fill="BDD6EE"/>
          </w:tcPr>
          <w:p>
            <w:pPr>
              <w:spacing w:after="0" w:line="310" w:lineRule="exact"/>
              <w:rPr>
                <w:sz w:val="20"/>
                <w:szCs w:val="20"/>
                <w:color w:val="auto"/>
              </w:rPr>
            </w:pPr>
            <w:r>
              <w:rPr>
                <w:rFonts w:ascii="Times New Roman" w:cs="Times New Roman" w:eastAsia="Times New Roman" w:hAnsi="Times New Roman"/>
                <w:sz w:val="18"/>
                <w:szCs w:val="18"/>
                <w:color w:val="auto"/>
              </w:rPr>
              <w:t>Blackwell Partners LLC - Series A</w:t>
            </w:r>
            <w:r>
              <w:rPr>
                <w:rFonts w:ascii="Times New Roman" w:cs="Times New Roman" w:eastAsia="Times New Roman" w:hAnsi="Times New Roman"/>
                <w:sz w:val="29"/>
                <w:szCs w:val="29"/>
                <w:color w:val="auto"/>
                <w:vertAlign w:val="superscript"/>
              </w:rPr>
              <w:t>(12)</w:t>
            </w:r>
          </w:p>
        </w:tc>
        <w:tc>
          <w:tcPr>
            <w:tcW w:w="154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8"/>
                <w:szCs w:val="18"/>
                <w:color w:val="auto"/>
              </w:rPr>
              <w:t>383,482</w:t>
            </w:r>
          </w:p>
        </w:tc>
        <w:tc>
          <w:tcPr>
            <w:tcW w:w="148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8"/>
                <w:szCs w:val="18"/>
                <w:color w:val="auto"/>
              </w:rPr>
              <w:t>766,964</w:t>
            </w:r>
          </w:p>
        </w:tc>
        <w:tc>
          <w:tcPr>
            <w:tcW w:w="1540" w:type="dxa"/>
            <w:vAlign w:val="bottom"/>
            <w:shd w:val="clear" w:color="auto" w:fill="BDD6EE"/>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DD6EE"/>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Selling Securityholders</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20,183,155</w:t>
            </w:r>
          </w:p>
        </w:tc>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10.6%</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31,609,140</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4,467,832</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both"/>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3,255,934 ordinary shares and 3,255,934 ABSA Warrant Shares purchased in the Private Placement, and 1,811,791 American Depositary Shares representing 3,623,582 ordinary shares held by Frazier Life Sciences Public Fund, L.P. FHMLSP, L.P. is the general partner of Frazier Life Sciences Public Fund, L.P. and the general partner of FHMLSP, L.P. is FHMLSP, L.L.C., which is managed by an investment committee of four that acts by majority vote. Accordingly, no members of such committee are attributed beneficial ownership of the securities directly held by Frazier Life Sciences Public Fund, L.P.</w:t>
      </w:r>
    </w:p>
    <w:p>
      <w:pPr>
        <w:spacing w:after="0" w:line="183"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Frazier Life Sciences Public Fund, L.P. is c/o Frazier Life Sciences Management, L.P., 1001 Page Mill Rd, Building 4, Suite B, Palo Alto, CA 94304.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30,447 ordinary shares and 30,447 ABSA Warrant Shares purchased through the Private Placement, and 153,771 American Depositary Shares representing 307,542 ordinary shares held by Frazier Life Sciences XI, L.P.</w:t>
      </w:r>
    </w:p>
    <w:p>
      <w:pPr>
        <w:spacing w:after="0" w:line="161"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FHMLS XI, L.P. is the general partner of Frazier Life Sciences XI, L.P. and the general partner of FHMLS XI, L.P. is FHMLS XI, L.L.C., which is managed by an investment committee of three that acts by majority vote. Accordingly, no members of such committee are attributed beneficial ownership of the securities directly held by Frazier Life Sciences XI, L.P.</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Frazier Life Sciences XI, L.P. is c/o Frazier Life Sciences Management, L.P., 1001 Page Mill Rd, Building 4, Suite B, Palo Alto, CA 94304.</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381,864 ordinary shares and 381,864 ABSA Warrant Shares purchased through the Private Placement, and 268,354 American Depositary Shares representing 536,708 ordinary shares held by Frazier Life Sciences XII, L.P.</w:t>
      </w:r>
    </w:p>
    <w:p>
      <w:pPr>
        <w:spacing w:after="0" w:line="161"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FHMLS XII, L.P. is the general partner of Frazier Life Sciences XII, L.P. and the general partner of FHMLS XII, L.P. is FHMLS XII, L.L.C., which is managed by an investment committee of three that acts by majority vote. Accordingly, no members of such committee are attributed beneficial ownership of the securities directly held by Frazier Life Sciences XII, L.P.</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Frazier Life Sciences XII, L.P. is c/o Frazier Life Sciences Management, L.P., 1001 Page Mill Rd, Building 4, Suite B, Palo Alto, CA 94304.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2,901,471 ordinary shares and 2,901,471 ABSA Warrant Shares purchased in the Private Placement and held by Deep Track Biotechnology Master Fund, Ltd.</w:t>
      </w:r>
    </w:p>
    <w:p>
      <w:pPr>
        <w:spacing w:after="0" w:line="161" w:lineRule="exact"/>
        <w:rPr>
          <w:rFonts w:ascii="Times New Roman" w:cs="Times New Roman" w:eastAsia="Times New Roman" w:hAnsi="Times New Roman"/>
          <w:sz w:val="18"/>
          <w:szCs w:val="18"/>
          <w:color w:val="auto"/>
        </w:rPr>
      </w:pPr>
    </w:p>
    <w:p>
      <w:pPr>
        <w:jc w:val="both"/>
        <w:ind w:left="3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 is the managing member of Deep Track Capital GP, LLC (the “GP”). The GP is the general partner of Deep Track Capital, LP (the “IM”). The IM is the investment manager of Deep Track Biotechnology Master Fund, Ltd. The address of the selling securityholder is 200 Greenwich Avenue,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Greenwich, CT 06830</w:t>
      </w:r>
    </w:p>
    <w:p>
      <w:pPr>
        <w:spacing w:after="0" w:line="4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1,450,736 ordinary shares and 1,450,736 ABSA Warrant Shares purchased in the Private Placement and held by TCG Crossover Fund II, and (ii) 1,450,735 ordinary shares and 1,450,735 ABSA Warrant Shares purchased in the Private Placement held by TCG Crossover Fund III, L.P.</w:t>
      </w:r>
    </w:p>
    <w:p>
      <w:pPr>
        <w:spacing w:after="0" w:line="16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TCG Crossover GP II, LLC is the general partner of TCG Crossover Fund II, L.P. and may be deemed to have voting, investment, and dispositive power with respect to these securities. Chen Yu is the sole managing member of TCG Crossover GP II, LLC and may be deemed to share voting, investment and dispositive power with respect to these securities. The principal business address of the entities and individual referenced in this footnote is 245 Lytton Ave., Suite 350, Palo Alto, CA 94301.</w:t>
      </w:r>
    </w:p>
    <w:p>
      <w:pPr>
        <w:spacing w:after="0" w:line="179"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TCG Crossover GP III, LLC is the general partner of TCG Crossover Fund III, L.P and may be deemed to have voting, investment, and dispositive power with respect to these securities. Chen Yu is the sole managing member of TCG Crossover GP III, LLC and may be deemed to share voting, investment and dispositive power with respect to these securities. The principal business address of the entities and individual referenced in this footnote is 245 Lytton Ave., Suite 350, Palo Alto, CA 94301.</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1,813,419 ordinary shares and 1,813,419 ABSA Warrant Shares purchased in the Private Placement and held by Cormorant Global Healthcare Master Fund, LP.</w:t>
      </w:r>
    </w:p>
    <w:p>
      <w:pPr>
        <w:spacing w:after="0" w:line="16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GP, LLC serves as the general partner of Cormorant Global Healthcare Master Fund, LP. Bihua Chen serves as the managing member of Cormorant Global Healthcare GP, LLC. Each of Cormorant Global Healthcare GP, LLC and Ms. Chen disclaim beneficial ownership of such shares except to the extent of any pecuniary interest therein. Ms. Chen, as the managing member of Cormorant Global Healthcare GP, LLC, has sole voting and investment control over the shares of Common Stock held by Cormorant Global Healthcare Master Fund, LP. The address for Cormorant Global Healthcare Master Fund, LP is 200 Clarendon Street, 50th Floor, Boston, MA 02116.</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693,180 ordinary shares and 693,180 ABSA Warrant Shares purchased in the Private Placement and held by Vivo Opportunity Fund Holdings, L.P. (“Vivo Opportunity Fund”), (ii) 70,018 ordinary shares and 70,018 ABSA Warrant Shares purchased in the Private Placement and held by Vivo Opportunity Cayman Fund, L.P. (“Vivo Cayman Fund”), and (iii) 763,200 ordinary shares and 763,200 ABSA Warrant Shares purchased in the Private Placement and held by Vivo Opportunity Co-Invest (Cycle 3), L.P. (“Cycle 3” and with Vivo Opportunity Fund, the “Vivo U.S. Entities”).</w:t>
      </w:r>
    </w:p>
    <w:p>
      <w:pPr>
        <w:spacing w:after="0" w:line="179"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Vivo Opportunity, LLC is the general partner of the Vivo U.S. Entities. Vivo Opportunity Cayman, LLC is the general partner of Vivo Cayman Fund. The voting members of each of Vivo Opportunity, LLC and Vivo Opportunity Cayman, LLC are Kevin Dai, Gaurav Aggarwal, Frank Kung and Shan Fu, none of whom has individual voting or investment power with respect to the shares held by the Vivo US Entities or Vivo Cayman Fund. The address of the individuals and entities referenced in this footnote is 192 Lytton Avenue, Palo Alto, California 94301.</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1,450,735 ordinary shares and 1,450,735 ABSA Warrant Shares purchased in the Private Placement and held by Perceptive Life Sciences Master Fund, Ltd.</w:t>
      </w:r>
    </w:p>
    <w:p>
      <w:pPr>
        <w:spacing w:after="0" w:line="161"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LLC is the investment manager of Perceptive Life Sciences Master Fund, Ltd. and may be deemed to beneficially own the securities directly held by Perceptive Life Sciences Master Fund, Ltd. Perceptive Venture Advisors, LP is the investment manager to Perceptive Xontogeny Venture Fund, LP and may be deemed to beneficially own the securities directly held by Perceptive Xontogeny Venture Fund, LP. Joseph Edelman is the controlling person of Perceptive Advisors LLC and Perceptive Venture Advisors, LP and accordingly, may be deemed to have beneficial ownership of the shares beneficially owned by Perceptive Life Sciences Master Fund, Ltd., Perceptive Advisors LLC, Perceptive Xontogeny Venture Fund, LP and Perceptive Venture Advisors LP. Mr. Edelman, Perceptive Life Sciences Master Fund, Ltd., Perceptive Advisors LLC, Perceptive Xontogeny Venture Fund, LP and Perceptive Venture Advisors LP disclaim beneficial ownership of all such securities except to the extent of its or his pecuniary interest therein. The address of Perceptive is 51 Astor Place, 10th Floor, New York, NY 10003.</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364,107 ordinary shares remaining from the ordinary shares purchased in the Private Placement and 453,355 ABSA Warrant Shares shares purchased in the Private Placement and held by Samsara BioCapital, L.P. (“Samsara LP”), and (ii) 364,109 ordinary shares remaining from the ordinary shares purchased in the Private Placement and 453,355 ABSA Warrant Shares from shares purchased in the Private Placement held by Samsara Opportunity Fund, L.P (“Opportunity Fund”).</w:t>
      </w:r>
    </w:p>
    <w:p>
      <w:pPr>
        <w:spacing w:after="0" w:line="179"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Samsara BioCapital GP, LLC (“Samsara GP”) is the general partner of Samsara LP and may be deemed to have voting and investment power over the securities held by Samsara LP.</w:t>
      </w:r>
    </w:p>
    <w:p>
      <w:pPr>
        <w:spacing w:after="0" w:line="16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Samsara Opportunity Fund GP, LLC (“Samsara Opportunity GP”) is the general partner of Opportunity Fund and may be deemed to have voting and investment power over the securities held by Opportunity Fund. Dr. Akkaraju is the managing member of Samsara GP and Samsara Opportunity GP and has voting and investment power over the shares held by Samsara LP and Opportunity Fund and, accordingly, may be deemed to beneficially own the shares held by Samsara LP and Opportunity Fund. The principal business address of the above persons is 628 Middlefield Rd., Palo Alto, California 94301.</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255,985 ordinary shares and 255,985 ABSA Warrant Shares purchased in the Private Placement and held by Nantahala Capital Partners Limited Partnership.</w:t>
      </w:r>
    </w:p>
    <w:p>
      <w:pPr>
        <w:spacing w:after="0" w:line="161"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Nantahala Capital Management, LLC is a Registered Investment Adviser and has been delegated the legal power to vote and/or direct the disposition of such securities on behalf of the selling securityholder as a General Partner, Investment Manager, or Sub-Advisor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 The address for the above referenced entity is 130 Main St., 2nd Floor, New Canaan, CT 06840.</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85,901 ordinary shares and 85,901 ABSA Warrant Shares purchased in the Private Placement and held by NCP RFM LP.</w:t>
      </w:r>
    </w:p>
    <w:p>
      <w:pPr>
        <w:spacing w:after="0" w:line="225"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Nantahala Capital Management, LLC is a Registered Investment Adviser and has been delegated the legal power to vote and/or direct the disposition of such securities on behalf of the selling securityholder as a General Partner, Investment Manager, or Sub-Advisor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 The address for the above referenced entity is 130 Main St., 2nd Floor, New Canaan, CT 06840.</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383,482 ordinary shares and 383,482 ABSA Warrant Shares purchased in the Private Placement and held by Blackwell Partners LLC - Series A.</w:t>
      </w:r>
    </w:p>
    <w:p>
      <w:pPr>
        <w:spacing w:after="0" w:line="161"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Nantahala Capital Management, LLC is a Registered Investment Adviser and has been delegated the legal power to vote and/or direct the disposition of such securities on behalf of the selling securityholder as a General Partner, Investment Manager, or Sub-Advisor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 The address for the above referenced entity is 130 Main St., 2nd Floor, New Canaan, CT 06840.</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information with respect to the material U.S. Federal Income Tax Considerations for U.S. Holders and the material French tax consequences relating to the purchase, ownership and disposition of any of the securities registered by this prospectus, please refer to the section entitled “Item 10.E: Additional Information – Taxation,” incorporated by reference from our Annual Report on Form 20-F for the fiscal year ended December 31, 2025, filed with the SEC on March 17, 2026, as well as any amendments thereto reflected in our subsequent filings with the SEC, all of which are incorporated by reference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 validity of our ordinary shares, including ordinary shares represented by ADSs offered by this prospectus and certain other matters governed by French law will be passed on for us by Jones Day, Paris, France. Cooley LLP, Boston, Massachusetts, will be representing us in regards to certain matters governed by U.S. law in connection with this offering. Any underwriters will be advised about other issues relating to any offering by their own legal counsel.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Valneva SE and management’s assessment of the effectiveness of internal control over financial reporting (which is included in Management’s Report on Internal Control over Financial Reporting) incorporated in this Prospectus by reference to the Annual Report on Form 20-F for the year ended December 31, 2025 have been so incorporated in reliance on the report (which contains an adverse opinion on the effectiveness of the Company’s internal control over financial reporting) of Deloitte &amp; Associés (PCAOB ID: 1756) and PricewaterhouseCoopers Audit (PCAOB ID: 1347), independent registered public accounting firms, given on the authority of said firms as experts in auditing and accounting.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offices of Deloitte &amp; Associés are located at 6, place de la Pyramide, 92908 Paris-La Défense Cedex, France.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offices of PricewaterhouseCoopers Audit are located at 63, rue de Villiers, 92208 Neuilly-sur-Seine Cedex, France.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or otherwise described in our Annual Report on Form 20-F for the fiscal year ended December 31, 2025 and in our Reports on Form 6-K incorporated by reference into this prospectus, no reportable material changes have occurred since December 31, 2025.</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a corporation organized under the laws of France. The majority of the members of our Executive Committee and Board of Directors are citizens and residents of countries other than the United States, and the majority of our assets are located outside of the United States. We have appointed an agent for service of process in the United States; however, it may be difficult for investors:</w:t>
      </w:r>
    </w:p>
    <w:p>
      <w:pPr>
        <w:spacing w:after="0" w:line="176" w:lineRule="exact"/>
        <w:rPr>
          <w:sz w:val="20"/>
          <w:szCs w:val="20"/>
          <w:color w:val="auto"/>
        </w:rPr>
      </w:pPr>
    </w:p>
    <w:p>
      <w:pPr>
        <w:ind w:left="660" w:right="4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jurisdiction over us or our non-U.S. resident members of the Executive Committee and Board of Directors in U.S. courts in actions predicated on the civil liability provisions of the U.S. federal securities 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judgments obtained in such actions against us or our non-U.S. resident members of the Executive Committee and Board of Directors;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an original action in a French court to enforce liabilities based upon the U.S. federal securities laws against us or our non-U.S. resident members of the Executive Committee and Board of Directors; and</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against us or our Executive Committee in non-U.S. courts, including French courts, judgments of U.S. courts predicated upon the civil liability provisions of the U.S. federal securities laws.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(1) that judgment was rendered by a court having jurisdiction over the dispute (the condition will be met if the dispute is clearly connected to the jurisdiction of the U.S. court and French courts did not have exclusive jurisdiction over the matter), (2) that judgment does not contravene French international public order and public policy, including the right to due process, (3) the U.S. judgment is not tainted with fraud and (4) is not incompatible with a judgment rendered by a French court in the same matter, or with an earlier judgment rendered by a foreign court in the same matter.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the enforcement, by U.S. investors, of any judgments obtained in U.S. courts in civil and commercial matters, including judgments under the U.S. federal securities law against us or members of our Executive Committee and Board of Directors or certain experts named herein who are residents of France or countries other than the United States would be subject to the above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there may be doubt as to whether a French court would impose civil liability on us, the members of our Executive Committee and Board of Directors or certain experts named herein in an original action predicated solely upon the U.S. federal securities laws brought in a court of competent jurisdiction in France against us or such members, officers or experts,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France, filed with and made public by any stock exchange on which we are listed or distributed by us to our securityholders. As a foreign private issuer, we are exempt from, among other things, the rules under the Exchange Act prescribing the furnishing and content of proxy statements and our officers, directors and principal securityholders are exempt from the reporting and short-swing profit recovery provisions contained in Section 16 of the Exchange 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 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www.valneva.com</w:t>
      </w:r>
      <w:r>
        <w:rPr>
          <w:rFonts w:ascii="Times New Roman" w:cs="Times New Roman" w:eastAsia="Times New Roman" w:hAnsi="Times New Roman"/>
          <w:sz w:val="18"/>
          <w:szCs w:val="18"/>
          <w:color w:val="auto"/>
        </w:rPr>
        <w:t xml:space="preserve"> through which you can access our SEC filings. The information set forth on our website is not part of this prospectus.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fiscal year ended December 31, 2025, filed with the SEC on </w:t>
      </w:r>
      <w:hyperlink r:id="rId36">
        <w:r>
          <w:rPr>
            <w:rFonts w:ascii="Times New Roman" w:cs="Times New Roman" w:eastAsia="Times New Roman" w:hAnsi="Times New Roman"/>
            <w:sz w:val="18"/>
            <w:szCs w:val="18"/>
            <w:u w:val="single" w:color="auto"/>
            <w:color w:val="0000EE"/>
          </w:rPr>
          <w:t>March 17,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filed or furnished to the SEC on </w:t>
      </w:r>
      <w:hyperlink r:id="rId37">
        <w:r>
          <w:rPr>
            <w:rFonts w:ascii="Times New Roman" w:cs="Times New Roman" w:eastAsia="Times New Roman" w:hAnsi="Times New Roman"/>
            <w:sz w:val="18"/>
            <w:szCs w:val="18"/>
            <w:u w:val="single" w:color="auto"/>
            <w:color w:val="0000EE"/>
          </w:rPr>
          <w:t>March 18, 2026</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March 23,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including exhibit 99.1 thereto; </w:t>
      </w:r>
      <w:hyperlink r:id="rId39">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auto"/>
        </w:rPr>
        <w:t xml:space="preserve"> including exhibit 99.1 thereto; </w:t>
      </w:r>
      <w:hyperlink r:id="rId40">
        <w:r>
          <w:rPr>
            <w:rFonts w:ascii="Times New Roman" w:cs="Times New Roman" w:eastAsia="Times New Roman" w:hAnsi="Times New Roman"/>
            <w:sz w:val="18"/>
            <w:szCs w:val="18"/>
            <w:u w:val="single" w:color="auto"/>
            <w:color w:val="0000EE"/>
          </w:rPr>
          <w:t>April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including exhibits 99.1 and 99.2; </w:t>
      </w:r>
      <w:hyperlink r:id="rId41">
        <w:r>
          <w:rPr>
            <w:rFonts w:ascii="Times New Roman" w:cs="Times New Roman" w:eastAsia="Times New Roman" w:hAnsi="Times New Roman"/>
            <w:sz w:val="18"/>
            <w:szCs w:val="18"/>
            <w:u w:val="single" w:color="auto"/>
            <w:color w:val="0000EE"/>
          </w:rPr>
          <w:t>May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including exhibit 99.1 thereto; </w:t>
      </w:r>
      <w:hyperlink r:id="rId42">
        <w:r>
          <w:rPr>
            <w:rFonts w:ascii="Times New Roman" w:cs="Times New Roman" w:eastAsia="Times New Roman" w:hAnsi="Times New Roman"/>
            <w:sz w:val="18"/>
            <w:szCs w:val="18"/>
            <w:u w:val="single" w:color="auto"/>
            <w:color w:val="0000EE"/>
          </w:rPr>
          <w:t>May 13, 2026</w:t>
        </w:r>
      </w:hyperlink>
      <w:r>
        <w:rPr>
          <w:rFonts w:ascii="Times New Roman" w:cs="Times New Roman" w:eastAsia="Times New Roman" w:hAnsi="Times New Roman"/>
          <w:sz w:val="18"/>
          <w:szCs w:val="18"/>
          <w:color w:val="auto"/>
        </w:rPr>
        <w:t xml:space="preserve"> including exhibits 99.1 and 99.2 but excluding the section entitled “Financial Outlook” in exhibit 99.1 thereto; and </w:t>
      </w:r>
      <w:hyperlink r:id="rId43">
        <w:r>
          <w:rPr>
            <w:rFonts w:ascii="Times New Roman" w:cs="Times New Roman" w:eastAsia="Times New Roman" w:hAnsi="Times New Roman"/>
            <w:sz w:val="18"/>
            <w:szCs w:val="18"/>
            <w:u w:val="single" w:color="auto"/>
            <w:color w:val="0000EE"/>
          </w:rPr>
          <w:t>June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exhibit 99.1 thereto;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and ADSs contained in our Registration Statement on Form 8-A, as filed with the SEC under Section 12(b) of the Exchange Act on </w:t>
      </w:r>
      <w:hyperlink r:id="rId44">
        <w:r>
          <w:rPr>
            <w:rFonts w:ascii="Times New Roman" w:cs="Times New Roman" w:eastAsia="Times New Roman" w:hAnsi="Times New Roman"/>
            <w:sz w:val="18"/>
            <w:szCs w:val="18"/>
            <w:u w:val="single" w:color="auto"/>
            <w:color w:val="0000EE"/>
          </w:rPr>
          <w:t>May 3, 2021</w:t>
        </w:r>
      </w:hyperlink>
      <w:r>
        <w:rPr>
          <w:rFonts w:ascii="Times New Roman" w:cs="Times New Roman" w:eastAsia="Times New Roman" w:hAnsi="Times New Roman"/>
          <w:sz w:val="18"/>
          <w:szCs w:val="18"/>
          <w:color w:val="auto"/>
        </w:rPr>
        <w:t>, including any amendment or report filed for the purpose of updating such description (File No. 001-40377).</w:t>
      </w:r>
    </w:p>
    <w:p>
      <w:pPr>
        <w:spacing w:after="0" w:line="162"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the offering of securities under this Registration Statement. In all cases, you should rely on the later information over different information included in this prospectus or any accompanying prospectus supplement.</w:t>
      </w:r>
    </w:p>
    <w:p>
      <w:pPr>
        <w:spacing w:after="0" w:line="18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Valneva SE</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Îlot Saint Joseph Bureaux Convergence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12T Quai Perrache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69002 Lyon France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+33 2 28 07 37 10</w:t>
      </w:r>
    </w:p>
    <w:p>
      <w:pPr>
        <w:spacing w:after="0" w:line="31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www.valneva.com</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EXPENSES ASSOCIATED WITH REGISTRATION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 other than the SEC registration fee and the FINRA filing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12,368.47</w:t>
            </w: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0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0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170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38" w:lineRule="exact"/>
        <w:rPr>
          <w:sz w:val="20"/>
          <w:szCs w:val="20"/>
          <w:color w:val="auto"/>
        </w:rPr>
      </w:pPr>
    </w:p>
    <w:p>
      <w:pPr>
        <w:ind w:left="5540" w:right="1220" w:hanging="5532"/>
        <w:spacing w:after="0" w:line="657"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2445385</wp:posOffset>
            </wp:positionH>
            <wp:positionV relativeFrom="page">
              <wp:posOffset>637540</wp:posOffset>
            </wp:positionV>
            <wp:extent cx="2631440"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631440" cy="36004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31,609,140</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American Depositary Shares representing Ordinary Shares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499745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2"/>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12"/>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jpeg"/><Relationship Id="rId49" Type="http://schemas.openxmlformats.org/officeDocument/2006/relationships/image" Target="media/image33.png"/><Relationship Id="rId36" Type="http://schemas.openxmlformats.org/officeDocument/2006/relationships/hyperlink" Target="http://www.sec.gov/Archives/edgar/data/1836564/000162828026018808/valn-20251231.htm" TargetMode="External"/><Relationship Id="rId37" Type="http://schemas.openxmlformats.org/officeDocument/2006/relationships/hyperlink" Target="https://www.sec.gov/Archives/edgar/data/1836564/000162828026019159/a6-kcoverpagetemplate.htm" TargetMode="External"/><Relationship Id="rId38" Type="http://schemas.openxmlformats.org/officeDocument/2006/relationships/hyperlink" Target="https://www.sec.gov/Archives/edgar/data/1836564/000162828026020495/lymeresults6-kcoverpage.htm" TargetMode="External"/><Relationship Id="rId39" Type="http://schemas.openxmlformats.org/officeDocument/2006/relationships/hyperlink" Target="https://www.sec.gov/Archives/edgar/data/1836564/000162828026021321/a6-kcoverpagetemplate.htm" TargetMode="External"/><Relationship Id="rId40" Type="http://schemas.openxmlformats.org/officeDocument/2006/relationships/hyperlink" Target="https://www.sec.gov/Archives/edgar/data/1836564/000162828026029000/projectvista6-k.htm" TargetMode="External"/><Relationship Id="rId41" Type="http://schemas.openxmlformats.org/officeDocument/2006/relationships/hyperlink" Target="https://www.sec.gov/Archives/edgar/data/1836564/000162828026030265/a6-kcoverpagetemplate.htm" TargetMode="External"/><Relationship Id="rId42" Type="http://schemas.openxmlformats.org/officeDocument/2006/relationships/hyperlink" Target="https://www.sec.gov/Archives/edgar/data/1836564/000162828026034662/q126results6-kcoverpage.htm" TargetMode="External"/><Relationship Id="rId43" Type="http://schemas.openxmlformats.org/officeDocument/2006/relationships/hyperlink" Target="https://www.sec.gov/Archives/edgar/data/1836564/000162828026039308/a6-kcoverpagetemplate.htm" TargetMode="External"/><Relationship Id="rId44" Type="http://schemas.openxmlformats.org/officeDocument/2006/relationships/hyperlink" Target="http://www.sec.gov/Archives/edgar/data/1836564/000119312521147939/d10541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2026-06-16T15:57:41Z</dcterms:created>
  <dcterms:modified xsi:type="dcterms:W3CDTF">2026-06-16T15:57:41Z</dcterms:modified>
</cp:coreProperties>
</file>