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 SECURITIES EXCHANGE ACT OF 1934</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August 15, 2022</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001-40377</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Valneva SE</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 rue Alain Bombard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44800 Saint-Herblain, France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7" w:lineRule="exact"/>
        <w:rPr>
          <w:sz w:val="24"/>
          <w:szCs w:val="24"/>
          <w:color w:val="auto"/>
        </w:rPr>
      </w:pPr>
    </w:p>
    <w:p>
      <w:pPr>
        <w:spacing w:after="0" w:line="207" w:lineRule="exact"/>
        <w:tabs>
          <w:tab w:leader="none" w:pos="11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194" w:lineRule="exact"/>
        <w:rPr>
          <w:sz w:val="24"/>
          <w:szCs w:val="24"/>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181" w:lineRule="exact"/>
        <w:rPr>
          <w:sz w:val="24"/>
          <w:szCs w:val="24"/>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48"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12, 2022, Valneva SE (the “Company”) entered into an Open Market Sale Agreement (the “Sales Agreement”) with Jefferies LLC (“Jefferies”) with respect to an equity offering program (the “Offering”) under which the Company may offer and sell American Depositary Shares (“ADS”), each ADS representing two ordinary shares, from time to time, through Jefferies as its sales agent. Pursuant to the Sales Agreement and the prospectus contained in the registration statement on Form F-3 described below, the Company may offer and sell ADSs having an aggregate offering price of up to $75.0 million (subject to French regulatory limits).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issuance and sale, if any, of the ADSs by the Company under the Sales Agreement will be made pursuant to the Company’s registration statement on Form F-3 (Registration Statement No. 333-266839), once declared effective by the Securities and Exchange Commission.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the Company’s ADSs, if any, in the Offering may be made in sales deemed to be an “at the market offering” as defined in Rule 415(a)(4) promulgated under the Securities Act of 1933, as amended (the “Securities Act”), from time to time. Jefferies is not required to sell any specific number or dollar amount of securities, but will act as sales agent and use commercially reasonable efforts to arrange on the Company’s behalf for the sale of all ADSs requested to be sold by the Company, consistent with Jefferies’ normal sales and trading practices. There is no arrangement for funds to be received in any escrow, trust or similar arrangement. Sales may also be conducted, with the Company’s consent, in negotiated transactions.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pay Jefferies a commission equal to three percent (3.0%) of the gross sales price per ADS sold through Jefferies under the Sales Agreement and also has agreed to provide indemnification and contribution to Jefferies with respect to certain liabilities, including liabilities under the Securities Act and the Securities Exchange Act of 1934, as amended (the “Exchange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not obligated to make any sales of ADSs pursuant to the Sales Agreement. The Offering pursuant to the Sales Agreement will terminate upon the earlier of (i) the sale of all ADSs subject to the Sales Agreement and (ii) the termination of the Sales Agreement as permitted therein. Each of the Company and Jefferies may terminate the Sales Agreement at any time upon ten trading days’ prior notice.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Sales Agreement is not complete and is qualified in its entirety by reference to the full text of the Sales Agreement, a copy of which is filed herewith as Exhibit 1.1 and is incorporated herein by reference. A copy of the legal opinion of Hogan Lovells (Paris) LLP, the Company’s French counsel, relating to the legality of the issuance of the ordinary shares underlying the ADSs to be sold in the Offering is attached as Exhibit 5.1 hereto.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on Form 6-K shall not constitute an offer to sell or the solicitation of an offer to buy the securities discussed herein.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issued a press release announcing the establishment of the Offering on August 12, 2022. A copy of the press release is being furnished as Exhibit 99.1 to this Report on Form 6-K.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Agreements and Amendments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June 15, 2022, the Company announced that it entered into a settlement agreement with the Government of the United Kingdom in relation to the termination of the supply agreement for the Company's COVID-19 vaccine candidate, VLA2001. A copy of the settlement agreement is attached hereto as Exhibit 10.1.</w:t>
      </w:r>
    </w:p>
    <w:p>
      <w:pPr>
        <w:spacing w:after="0" w:line="176" w:lineRule="exact"/>
        <w:rPr>
          <w:sz w:val="20"/>
          <w:szCs w:val="20"/>
          <w:color w:val="auto"/>
        </w:rPr>
      </w:pPr>
    </w:p>
    <w:p>
      <w:pPr>
        <w:jc w:val="both"/>
        <w:ind w:right="480"/>
        <w:spacing w:after="0" w:line="312" w:lineRule="auto"/>
        <w:rPr>
          <w:sz w:val="20"/>
          <w:szCs w:val="20"/>
          <w:color w:val="auto"/>
        </w:rPr>
      </w:pPr>
      <w:r>
        <w:rPr>
          <w:rFonts w:ascii="Times New Roman" w:cs="Times New Roman" w:eastAsia="Times New Roman" w:hAnsi="Times New Roman"/>
          <w:sz w:val="17"/>
          <w:szCs w:val="17"/>
          <w:color w:val="auto"/>
        </w:rPr>
        <w:t>The Company amended the Credit Agreement by and between Valneva SE, Valneva Austria GmbH, the Lenders party thereto and Wilmington Trust, National Association on January 3, 2022 and April 25, 2022. Copies of these amendments are attached hereto as Exhibits 10.2 and 10.3, respectively.</w:t>
      </w:r>
    </w:p>
    <w:p>
      <w:pPr>
        <w:spacing w:after="0" w:line="14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On August 1, 2022, the Company announced confirmation of the signing of an amendment to its Advance Purchase Agreement with the European Commission. A copy of the amendment is attached hereto as Exhibit 10.4</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amended the Research Collaboration and License Agreement by and between Valneva Austria GmbH and Pfizer Inc. on July 14, 2021, November 10, 2021 and June 19, 2022. Copies of these amendments are attached hereto as Exhibits 10.5, 10.6 and 10.7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Incorporation by Reference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into the Company's Registration Statement on Form F-3 (File No. 333-266839) and to be part thereof from the date on which this Report is filed, to the extent not superseded by documents or reports subsequently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40" w:type="dxa"/>
            <w:vAlign w:val="bottom"/>
            <w:gridSpan w:val="14"/>
          </w:tcPr>
          <w:p>
            <w:pPr>
              <w:ind w:left="170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r>
      <w:tr>
        <w:trPr>
          <w:trHeight w:val="324"/>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51"/>
        </w:trPr>
        <w:tc>
          <w:tcPr>
            <w:tcW w:w="11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Exhibit</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402"/>
        </w:trPr>
        <w:tc>
          <w:tcPr>
            <w:tcW w:w="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Sales Agreement, dated as of August 12, 2022, by and between Valneva SE and Jefferies LLC.</w:t>
            </w:r>
          </w:p>
        </w:tc>
        <w:tc>
          <w:tcPr>
            <w:tcW w:w="3280" w:type="dxa"/>
            <w:vAlign w:val="bottom"/>
            <w:gridSpan w:val="7"/>
          </w:tcPr>
          <w:p>
            <w:pPr>
              <w:spacing w:after="0"/>
              <w:rPr>
                <w:sz w:val="24"/>
                <w:szCs w:val="24"/>
                <w:color w:val="auto"/>
              </w:rPr>
            </w:pPr>
          </w:p>
        </w:tc>
      </w:tr>
      <w:tr>
        <w:trPr>
          <w:trHeight w:val="439"/>
        </w:trPr>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Opinion of Hogan Lovells (Paris) LLP.</w:t>
            </w:r>
          </w:p>
        </w:tc>
        <w:tc>
          <w:tcPr>
            <w:tcW w:w="7280" w:type="dxa"/>
            <w:vAlign w:val="bottom"/>
            <w:gridSpan w:val="13"/>
          </w:tcPr>
          <w:p>
            <w:pPr>
              <w:spacing w:after="0"/>
              <w:rPr>
                <w:sz w:val="24"/>
                <w:szCs w:val="24"/>
                <w:color w:val="auto"/>
              </w:rPr>
            </w:pPr>
          </w:p>
        </w:tc>
      </w:tr>
      <w:tr>
        <w:trPr>
          <w:trHeight w:val="439"/>
        </w:trPr>
        <w:tc>
          <w:tcPr>
            <w:tcW w:w="3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24"/>
                <w:szCs w:val="24"/>
                <w:color w:val="auto"/>
              </w:rPr>
            </w:pPr>
          </w:p>
        </w:tc>
        <w:tc>
          <w:tcPr>
            <w:tcW w:w="96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Settlement Agreement dated June 15, 2022, by and between Valneva Austria GmbH, Valneva SE, The Secretary of State for Business,</w:t>
            </w:r>
          </w:p>
        </w:tc>
        <w:tc>
          <w:tcPr>
            <w:tcW w:w="440" w:type="dxa"/>
            <w:vAlign w:val="bottom"/>
            <w:gridSpan w:val="5"/>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Energy and Industrial Strategy and the Secretary of State for Health and Social Care</w:t>
            </w:r>
          </w:p>
        </w:tc>
        <w:tc>
          <w:tcPr>
            <w:tcW w:w="4040" w:type="dxa"/>
            <w:vAlign w:val="bottom"/>
            <w:gridSpan w:val="8"/>
          </w:tcPr>
          <w:p>
            <w:pPr>
              <w:spacing w:after="0"/>
              <w:rPr>
                <w:sz w:val="17"/>
                <w:szCs w:val="17"/>
                <w:color w:val="auto"/>
              </w:rPr>
            </w:pPr>
          </w:p>
        </w:tc>
      </w:tr>
      <w:tr>
        <w:trPr>
          <w:trHeight w:val="439"/>
        </w:trPr>
        <w:tc>
          <w:tcPr>
            <w:tcW w:w="3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820" w:type="dxa"/>
            <w:vAlign w:val="bottom"/>
          </w:tcPr>
          <w:p>
            <w:pPr>
              <w:spacing w:after="0"/>
              <w:rPr>
                <w:sz w:val="24"/>
                <w:szCs w:val="24"/>
                <w:color w:val="auto"/>
              </w:rPr>
            </w:pPr>
          </w:p>
        </w:tc>
        <w:tc>
          <w:tcPr>
            <w:tcW w:w="97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Fourth Amendment to Credit Agreement dated January 3, 2022, by and between Valneva Austria GmbH, the Lenders party thereto and</w:t>
            </w:r>
          </w:p>
        </w:tc>
        <w:tc>
          <w:tcPr>
            <w:tcW w:w="380" w:type="dxa"/>
            <w:vAlign w:val="bottom"/>
            <w:gridSpan w:val="4"/>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1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Wilmington Trust, National Association</w:t>
            </w:r>
          </w:p>
        </w:tc>
      </w:tr>
      <w:tr>
        <w:trPr>
          <w:trHeight w:val="20"/>
        </w:trPr>
        <w:tc>
          <w:tcPr>
            <w:tcW w:w="3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p>
        </w:tc>
        <w:tc>
          <w:tcPr>
            <w:tcW w:w="820" w:type="dxa"/>
            <w:vAlign w:val="bottom"/>
          </w:tcPr>
          <w:p>
            <w:pPr>
              <w:spacing w:after="0"/>
              <w:rPr>
                <w:sz w:val="24"/>
                <w:szCs w:val="24"/>
                <w:color w:val="auto"/>
              </w:rPr>
            </w:pPr>
          </w:p>
        </w:tc>
        <w:tc>
          <w:tcPr>
            <w:tcW w:w="100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Fifth Amendment to Credit Agreement dated April 25, 2022 by and between Valneva SE, Valneva Austria GmbH, the Lenders party thereto</w:t>
            </w:r>
          </w:p>
        </w:tc>
        <w:tc>
          <w:tcPr>
            <w:tcW w:w="2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and Wilmington Trust, National Association</w:t>
            </w:r>
          </w:p>
        </w:tc>
        <w:tc>
          <w:tcPr>
            <w:tcW w:w="6900" w:type="dxa"/>
            <w:vAlign w:val="bottom"/>
            <w:gridSpan w:val="11"/>
          </w:tcPr>
          <w:p>
            <w:pPr>
              <w:spacing w:after="0"/>
              <w:rPr>
                <w:sz w:val="17"/>
                <w:szCs w:val="17"/>
                <w:color w:val="auto"/>
              </w:rPr>
            </w:pPr>
          </w:p>
        </w:tc>
      </w:tr>
      <w:tr>
        <w:trPr>
          <w:trHeight w:val="439"/>
        </w:trPr>
        <w:tc>
          <w:tcPr>
            <w:tcW w:w="3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p>
        </w:tc>
        <w:tc>
          <w:tcPr>
            <w:tcW w:w="820" w:type="dxa"/>
            <w:vAlign w:val="bottom"/>
          </w:tcPr>
          <w:p>
            <w:pPr>
              <w:spacing w:after="0"/>
              <w:rPr>
                <w:sz w:val="24"/>
                <w:szCs w:val="24"/>
                <w:color w:val="auto"/>
              </w:rPr>
            </w:pPr>
          </w:p>
        </w:tc>
        <w:tc>
          <w:tcPr>
            <w:tcW w:w="95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Amendment to the Advanced Purchase Agreement dated August 1, 2022, by and between Valneva Austria GmbH and the European</w:t>
            </w:r>
          </w:p>
        </w:tc>
        <w:tc>
          <w:tcPr>
            <w:tcW w:w="600" w:type="dxa"/>
            <w:vAlign w:val="bottom"/>
            <w:gridSpan w:val="6"/>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Commission</w:t>
            </w:r>
          </w:p>
        </w:tc>
        <w:tc>
          <w:tcPr>
            <w:tcW w:w="9180" w:type="dxa"/>
            <w:vAlign w:val="bottom"/>
            <w:gridSpan w:val="15"/>
          </w:tcPr>
          <w:p>
            <w:pPr>
              <w:spacing w:after="0"/>
              <w:rPr>
                <w:sz w:val="17"/>
                <w:szCs w:val="17"/>
                <w:color w:val="auto"/>
              </w:rPr>
            </w:pPr>
          </w:p>
        </w:tc>
      </w:tr>
      <w:tr>
        <w:trPr>
          <w:trHeight w:val="439"/>
        </w:trPr>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5</w:t>
            </w:r>
          </w:p>
        </w:tc>
        <w:tc>
          <w:tcPr>
            <w:tcW w:w="820" w:type="dxa"/>
            <w:vAlign w:val="bottom"/>
          </w:tcPr>
          <w:p>
            <w:pPr>
              <w:spacing w:after="0"/>
              <w:rPr>
                <w:sz w:val="24"/>
                <w:szCs w:val="24"/>
                <w:color w:val="auto"/>
              </w:rPr>
            </w:pP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Amendment No. 1 to Research Collaboration and License Agreement dated July 14, 2021, by and between Valneva Austria GmbH and</w:t>
            </w:r>
          </w:p>
        </w:tc>
      </w:tr>
      <w:tr>
        <w:trPr>
          <w:trHeight w:val="196"/>
        </w:trPr>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Pfizer Inc.</w:t>
            </w:r>
          </w:p>
        </w:tc>
        <w:tc>
          <w:tcPr>
            <w:tcW w:w="8960" w:type="dxa"/>
            <w:vAlign w:val="bottom"/>
            <w:tcBorders>
              <w:top w:val="single" w:sz="8" w:color="0000EE"/>
            </w:tcBorders>
            <w:gridSpan w:val="12"/>
          </w:tcPr>
          <w:p>
            <w:pPr>
              <w:spacing w:after="0"/>
              <w:rPr>
                <w:sz w:val="17"/>
                <w:szCs w:val="17"/>
                <w:color w:val="auto"/>
              </w:rPr>
            </w:pPr>
          </w:p>
        </w:tc>
        <w:tc>
          <w:tcPr>
            <w:tcW w:w="380" w:type="dxa"/>
            <w:vAlign w:val="bottom"/>
            <w:gridSpan w:val="4"/>
          </w:tcPr>
          <w:p>
            <w:pPr>
              <w:spacing w:after="0"/>
              <w:rPr>
                <w:sz w:val="17"/>
                <w:szCs w:val="17"/>
                <w:color w:val="auto"/>
              </w:rPr>
            </w:pPr>
          </w:p>
        </w:tc>
      </w:tr>
      <w:tr>
        <w:trPr>
          <w:trHeight w:val="439"/>
        </w:trPr>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6</w:t>
            </w:r>
          </w:p>
        </w:tc>
        <w:tc>
          <w:tcPr>
            <w:tcW w:w="820" w:type="dxa"/>
            <w:vAlign w:val="bottom"/>
          </w:tcPr>
          <w:p>
            <w:pPr>
              <w:spacing w:after="0"/>
              <w:rPr>
                <w:sz w:val="24"/>
                <w:szCs w:val="24"/>
                <w:color w:val="auto"/>
              </w:rPr>
            </w:pP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Amendment No. 2 to Research Collaboration and License Agreement dated November 10, 2021, by and between Valneva Austria GmbH</w:t>
            </w:r>
          </w:p>
        </w:tc>
      </w:tr>
      <w:tr>
        <w:trPr>
          <w:trHeight w:val="196"/>
        </w:trPr>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and Pfizer Inc.</w:t>
            </w:r>
          </w:p>
        </w:tc>
        <w:tc>
          <w:tcPr>
            <w:tcW w:w="8820" w:type="dxa"/>
            <w:vAlign w:val="bottom"/>
            <w:tcBorders>
              <w:top w:val="single" w:sz="8" w:color="0000EE"/>
            </w:tcBorders>
            <w:gridSpan w:val="12"/>
          </w:tcPr>
          <w:p>
            <w:pPr>
              <w:spacing w:after="0"/>
              <w:rPr>
                <w:sz w:val="17"/>
                <w:szCs w:val="17"/>
                <w:color w:val="auto"/>
              </w:rPr>
            </w:pPr>
          </w:p>
        </w:tc>
        <w:tc>
          <w:tcPr>
            <w:tcW w:w="220" w:type="dxa"/>
            <w:vAlign w:val="bottom"/>
            <w:gridSpan w:val="2"/>
          </w:tcPr>
          <w:p>
            <w:pPr>
              <w:spacing w:after="0"/>
              <w:rPr>
                <w:sz w:val="17"/>
                <w:szCs w:val="17"/>
                <w:color w:val="auto"/>
              </w:rPr>
            </w:pPr>
          </w:p>
        </w:tc>
      </w:tr>
      <w:tr>
        <w:trPr>
          <w:trHeight w:val="439"/>
        </w:trPr>
        <w:tc>
          <w:tcPr>
            <w:tcW w:w="3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7</w:t>
            </w:r>
          </w:p>
        </w:tc>
        <w:tc>
          <w:tcPr>
            <w:tcW w:w="820" w:type="dxa"/>
            <w:vAlign w:val="bottom"/>
          </w:tcPr>
          <w:p>
            <w:pPr>
              <w:spacing w:after="0"/>
              <w:rPr>
                <w:sz w:val="24"/>
                <w:szCs w:val="24"/>
                <w:color w:val="auto"/>
              </w:rPr>
            </w:pPr>
          </w:p>
        </w:tc>
        <w:tc>
          <w:tcPr>
            <w:tcW w:w="97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Amendment No. 3 to Research Collaboration and License Agreement dated June 19, 2022, by and between Valneva Austria GmbH and</w:t>
            </w:r>
          </w:p>
        </w:tc>
        <w:tc>
          <w:tcPr>
            <w:tcW w:w="340" w:type="dxa"/>
            <w:vAlign w:val="bottom"/>
            <w:gridSpan w:val="3"/>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Pfizer Inc.</w:t>
            </w:r>
          </w:p>
        </w:tc>
        <w:tc>
          <w:tcPr>
            <w:tcW w:w="9340" w:type="dxa"/>
            <w:vAlign w:val="bottom"/>
            <w:gridSpan w:val="16"/>
          </w:tcPr>
          <w:p>
            <w:pPr>
              <w:spacing w:after="0"/>
              <w:rPr>
                <w:sz w:val="17"/>
                <w:szCs w:val="17"/>
                <w:color w:val="auto"/>
              </w:rPr>
            </w:pPr>
          </w:p>
        </w:tc>
      </w:tr>
      <w:tr>
        <w:trPr>
          <w:trHeight w:val="439"/>
        </w:trPr>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24"/>
                <w:szCs w:val="24"/>
                <w:color w:val="auto"/>
              </w:rPr>
            </w:pP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Consent of Hogan Lovells (Paris) LLP (included in Exhibit 5.1).</w:t>
            </w:r>
          </w:p>
        </w:tc>
      </w:tr>
      <w:tr>
        <w:trPr>
          <w:trHeight w:val="20"/>
        </w:trPr>
        <w:tc>
          <w:tcPr>
            <w:tcW w:w="32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40" w:type="dxa"/>
            <w:vAlign w:val="bottom"/>
            <w:gridSpan w:val="7"/>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40" w:type="dxa"/>
            <w:vAlign w:val="bottom"/>
            <w:gridSpan w:val="9"/>
          </w:tcPr>
          <w:p>
            <w:pPr>
              <w:spacing w:after="0" w:line="20" w:lineRule="exact"/>
              <w:rPr>
                <w:sz w:val="1"/>
                <w:szCs w:val="1"/>
                <w:color w:val="auto"/>
              </w:rPr>
            </w:pPr>
          </w:p>
        </w:tc>
      </w:tr>
      <w:tr>
        <w:trPr>
          <w:trHeight w:val="439"/>
        </w:trPr>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24"/>
                <w:szCs w:val="24"/>
                <w:color w:val="auto"/>
              </w:rPr>
            </w:pP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Press Release of Valneva SE, dated August 15, 2022, furnished herewith.</w:t>
            </w:r>
          </w:p>
        </w:tc>
      </w:tr>
      <w:tr>
        <w:trPr>
          <w:trHeight w:val="884"/>
        </w:trPr>
        <w:tc>
          <w:tcPr>
            <w:tcW w:w="2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7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44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08"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318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rPr>
              <w:t>Valneva SE</w:t>
            </w:r>
          </w:p>
        </w:tc>
        <w:tc>
          <w:tcPr>
            <w:tcW w:w="4740" w:type="dxa"/>
            <w:vAlign w:val="bottom"/>
          </w:tcPr>
          <w:p>
            <w:pPr>
              <w:spacing w:after="0"/>
              <w:rPr>
                <w:sz w:val="20"/>
                <w:szCs w:val="20"/>
                <w:color w:val="auto"/>
              </w:rPr>
            </w:pPr>
          </w:p>
        </w:tc>
      </w:tr>
      <w:tr>
        <w:trPr>
          <w:trHeight w:val="48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15, 2022</w:t>
            </w:r>
          </w:p>
        </w:tc>
        <w:tc>
          <w:tcPr>
            <w:tcW w:w="31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Lingelbach</w:t>
            </w:r>
          </w:p>
        </w:tc>
      </w:tr>
      <w:tr>
        <w:trPr>
          <w:trHeight w:val="228"/>
        </w:trPr>
        <w:tc>
          <w:tcPr>
            <w:tcW w:w="3320" w:type="dxa"/>
            <w:vAlign w:val="bottom"/>
          </w:tcPr>
          <w:p>
            <w:pPr>
              <w:spacing w:after="0"/>
              <w:rPr>
                <w:sz w:val="19"/>
                <w:szCs w:val="19"/>
                <w:color w:val="auto"/>
              </w:rPr>
            </w:pPr>
          </w:p>
        </w:tc>
        <w:tc>
          <w:tcPr>
            <w:tcW w:w="31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Name:</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Thomas Lingelbach</w:t>
            </w:r>
          </w:p>
        </w:tc>
      </w:tr>
      <w:tr>
        <w:trPr>
          <w:trHeight w:val="238"/>
        </w:trPr>
        <w:tc>
          <w:tcPr>
            <w:tcW w:w="3320" w:type="dxa"/>
            <w:vAlign w:val="bottom"/>
          </w:tcPr>
          <w:p>
            <w:pPr>
              <w:spacing w:after="0"/>
              <w:rPr>
                <w:sz w:val="20"/>
                <w:szCs w:val="20"/>
                <w:color w:val="auto"/>
              </w:rPr>
            </w:pPr>
          </w:p>
        </w:tc>
        <w:tc>
          <w:tcPr>
            <w:tcW w:w="31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02"/>
        </w:trPr>
        <w:tc>
          <w:tcPr>
            <w:tcW w:w="3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Valneva SE 6-K</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OPEN MARKET SALE AGREEMENT</w:t>
      </w:r>
      <w:r>
        <w:rPr>
          <w:rFonts w:ascii="Times New Roman" w:cs="Times New Roman" w:eastAsia="Times New Roman" w:hAnsi="Times New Roman"/>
          <w:sz w:val="29"/>
          <w:szCs w:val="29"/>
          <w:b w:val="1"/>
          <w:bCs w:val="1"/>
          <w:color w:val="auto"/>
          <w:vertAlign w:val="superscript"/>
        </w:rPr>
        <w:t>SM</w:t>
      </w:r>
    </w:p>
    <w:p>
      <w:pPr>
        <w:spacing w:after="0" w:line="139"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8"/>
          <w:szCs w:val="18"/>
          <w:color w:val="auto"/>
        </w:rPr>
        <w:t>August 12,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Valneva SE, a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xml:space="preserve"> incorporated under the laws of France, having its registered office at 6 rue Alain Bombard, 44800 Saint-Herblain, France and registered with the </w:t>
      </w:r>
      <w:r>
        <w:rPr>
          <w:rFonts w:ascii="Times New Roman" w:cs="Times New Roman" w:eastAsia="Times New Roman" w:hAnsi="Times New Roman"/>
          <w:sz w:val="18"/>
          <w:szCs w:val="18"/>
          <w:i w:val="1"/>
          <w:iCs w:val="1"/>
          <w:color w:val="auto"/>
        </w:rPr>
        <w:t>registre du commerce et des sociétés</w:t>
      </w:r>
      <w:r>
        <w:rPr>
          <w:rFonts w:ascii="Times New Roman" w:cs="Times New Roman" w:eastAsia="Times New Roman" w:hAnsi="Times New Roman"/>
          <w:sz w:val="18"/>
          <w:szCs w:val="18"/>
          <w:color w:val="auto"/>
        </w:rPr>
        <w:t xml:space="preserve"> of Nantes under the number 422 497 560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subject to the terms and conditions stated herein, to issue and sell from time to time through Jefferies LLC, as sales agent and/or principal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ordinary shares, nominal value €0.15 per share, of the Company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to be represented by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on the terms set forth in this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Common Shares are to be deposited pursuant to the deposit agreement (the “</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dated as of May 10, 2021 among the Company, Citibank, N.A., as depositary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and holders and beneficial holders from time to time of the American Depositary Receipts (the “</w:t>
      </w:r>
      <w:r>
        <w:rPr>
          <w:rFonts w:ascii="Times New Roman" w:cs="Times New Roman" w:eastAsia="Times New Roman" w:hAnsi="Times New Roman"/>
          <w:sz w:val="18"/>
          <w:szCs w:val="18"/>
          <w:b w:val="1"/>
          <w:bCs w:val="1"/>
          <w:color w:val="auto"/>
        </w:rPr>
        <w:t>ADRs</w:t>
      </w:r>
      <w:r>
        <w:rPr>
          <w:rFonts w:ascii="Times New Roman" w:cs="Times New Roman" w:eastAsia="Times New Roman" w:hAnsi="Times New Roman"/>
          <w:sz w:val="18"/>
          <w:szCs w:val="18"/>
          <w:color w:val="auto"/>
        </w:rPr>
        <w:t>”) issued by the Depositary and evidencing the ADSs. Each ADS will initially represent two Common Shares (each an “</w:t>
      </w:r>
      <w:r>
        <w:rPr>
          <w:rFonts w:ascii="Times New Roman" w:cs="Times New Roman" w:eastAsia="Times New Roman" w:hAnsi="Times New Roman"/>
          <w:sz w:val="18"/>
          <w:szCs w:val="18"/>
          <w:b w:val="1"/>
          <w:bCs w:val="1"/>
          <w:color w:val="auto"/>
        </w:rPr>
        <w:t>Underlying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deposited pursuant to the Deposit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 Company and the Agent acknowledges that the Shares (as defined in Section‎ 1 below) may only be sold in compliance with applicable French and other applicable law and the limits and conditions set forth in the corporate authorizations of the Company applicable at the time of issuance of the Shares.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Underlying Common Shares underlying the Shares will be issued by way of one or more capital increases without preferential rights for existing shareholders by way of a public offer reserved to categories of persons under the provisions of Article L. 225-138 of the French Commercial Code,</w:t>
      </w:r>
    </w:p>
    <w:p>
      <w:pPr>
        <w:jc w:val="both"/>
        <w:spacing w:after="0" w:line="209" w:lineRule="auto"/>
        <w:rPr>
          <w:sz w:val="20"/>
          <w:szCs w:val="20"/>
          <w:color w:val="auto"/>
        </w:rPr>
      </w:pPr>
      <w:r>
        <w:rPr>
          <w:rFonts w:ascii="Times New Roman" w:cs="Times New Roman" w:eastAsia="Times New Roman" w:hAnsi="Times New Roman"/>
          <w:sz w:val="18"/>
          <w:szCs w:val="18"/>
          <w:color w:val="auto"/>
        </w:rPr>
        <w:t>pursuant to the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resolution of the Company’s combined general shareholders’ meeting held on June 23, 2022 (or any substitute resolutions thereto adopted at a subsequent shareholders’ meeting).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DEFINITIONS</w:t>
      </w:r>
    </w:p>
    <w:p>
      <w:pPr>
        <w:spacing w:after="0" w:line="229" w:lineRule="exact"/>
        <w:rPr>
          <w:sz w:val="20"/>
          <w:szCs w:val="20"/>
          <w:color w:val="auto"/>
        </w:rPr>
      </w:pPr>
    </w:p>
    <w:p>
      <w:pPr>
        <w:ind w:firstLine="656"/>
        <w:spacing w:after="0" w:line="282" w:lineRule="auto"/>
        <w:tabs>
          <w:tab w:leader="none" w:pos="128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capitalized terms used herein and not otherwise defined shall have the following respective meanings: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“Open Market Sale Agreement” is a service mark of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Agency Period</w:t>
      </w:r>
      <w:r>
        <w:rPr>
          <w:rFonts w:ascii="Times New Roman" w:cs="Times New Roman" w:eastAsia="Times New Roman" w:hAnsi="Times New Roman"/>
          <w:sz w:val="18"/>
          <w:szCs w:val="18"/>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Euronext</w:t>
      </w:r>
      <w:r>
        <w:rPr>
          <w:rFonts w:ascii="Times New Roman" w:cs="Times New Roman" w:eastAsia="Times New Roman" w:hAnsi="Times New Roman"/>
          <w:sz w:val="18"/>
          <w:szCs w:val="18"/>
          <w:color w:val="auto"/>
        </w:rPr>
        <w:t>” means the regulated market of Euronext in Paris.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thereunder.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 Price</w:t>
      </w:r>
      <w:r>
        <w:rPr>
          <w:rFonts w:ascii="Times New Roman" w:cs="Times New Roman" w:eastAsia="Times New Roman" w:hAnsi="Times New Roman"/>
          <w:sz w:val="18"/>
          <w:szCs w:val="18"/>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 it being understood that notwithstanding the specified Floor Price, the Sales Price shall be at least equal to the U.S. dollar equivalent (based on the then prevailing exchange rate as published by the European Central Bank) of the volume-weighted average price of the Company's Common Shares on Euronext over a period of time chosen by the Management Board (</w:t>
      </w:r>
      <w:r>
        <w:rPr>
          <w:rFonts w:ascii="Times New Roman" w:cs="Times New Roman" w:eastAsia="Times New Roman" w:hAnsi="Times New Roman"/>
          <w:sz w:val="18"/>
          <w:szCs w:val="18"/>
          <w:i w:val="1"/>
          <w:iCs w:val="1"/>
          <w:color w:val="auto"/>
        </w:rPr>
        <w:t>Directoire</w:t>
      </w:r>
      <w:r>
        <w:rPr>
          <w:rFonts w:ascii="Times New Roman" w:cs="Times New Roman" w:eastAsia="Times New Roman" w:hAnsi="Times New Roman"/>
          <w:sz w:val="18"/>
          <w:szCs w:val="18"/>
          <w:color w:val="auto"/>
        </w:rPr>
        <w:t>) comprising between three (3) and ninety</w:t>
      </w:r>
    </w:p>
    <w:p>
      <w:pPr>
        <w:spacing w:after="0" w:line="4" w:lineRule="exact"/>
        <w:rPr>
          <w:sz w:val="20"/>
          <w:szCs w:val="20"/>
          <w:color w:val="auto"/>
        </w:rPr>
      </w:pPr>
    </w:p>
    <w:p>
      <w:pPr>
        <w:jc w:val="both"/>
        <w:ind w:firstLine="8"/>
        <w:spacing w:after="0" w:line="255" w:lineRule="auto"/>
        <w:tabs>
          <w:tab w:leader="none" w:pos="3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chosen among the last thirty (30) Trading Days preceding the pricing of the relevant sale, subject to a maximum discount of 15% as calculated by the Agent during the applicable period set forth in the Issuance Notice (or any substitute method provided for in the relevant resolution adopted at a subsequent shareholders' meeting).</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Amount</w:t>
      </w:r>
      <w:r>
        <w:rPr>
          <w:rFonts w:ascii="Times New Roman" w:cs="Times New Roman" w:eastAsia="Times New Roman" w:hAnsi="Times New Roman"/>
          <w:sz w:val="18"/>
          <w:szCs w:val="18"/>
          <w:color w:val="auto"/>
        </w:rPr>
        <w:t>” means the aggregate Sales Price of the Shares to be sold by the Agent pursuant to any Issuance Decision.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Commission</w:t>
      </w:r>
      <w:r>
        <w:rPr>
          <w:rFonts w:ascii="Times New Roman" w:cs="Times New Roman" w:eastAsia="Times New Roman" w:hAnsi="Times New Roman"/>
          <w:sz w:val="18"/>
          <w:szCs w:val="18"/>
          <w:color w:val="auto"/>
        </w:rPr>
        <w:t>” means the aggregate Selling Commission of the Shares sold by the Agent pursuant to any Issuance Decision.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Decision</w:t>
      </w:r>
      <w:r>
        <w:rPr>
          <w:rFonts w:ascii="Times New Roman" w:cs="Times New Roman" w:eastAsia="Times New Roman" w:hAnsi="Times New Roman"/>
          <w:sz w:val="18"/>
          <w:szCs w:val="18"/>
          <w:color w:val="auto"/>
        </w:rPr>
        <w:t>” has the meaning ascribed to it in Section‎ 3(b)(v).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-5080</wp:posOffset>
            </wp:positionV>
            <wp:extent cx="6946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4690"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Notice</w:t>
      </w:r>
      <w:r>
        <w:rPr>
          <w:rFonts w:ascii="Times New Roman" w:cs="Times New Roman" w:eastAsia="Times New Roman" w:hAnsi="Times New Roman"/>
          <w:sz w:val="18"/>
          <w:szCs w:val="18"/>
          <w:color w:val="auto"/>
        </w:rPr>
        <w:t xml:space="preserve">” means a written notice containing the parameters in accordance with which the Company desires ADSs to be sold, which shall at a minimum include the number or dollar amount of ADSs desired to be sold, the time period during which sales are requested to be made, any minimum price below which sales may not be made and any limitations and conditions required by French law and/or set forth in the corporate authorizations of the Company, delivered to the Agent by the Company in accordance with this Agreement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that is executed by its Chief Executive Officer (</w:t>
      </w:r>
      <w:r>
        <w:rPr>
          <w:rFonts w:ascii="Times New Roman" w:cs="Times New Roman" w:eastAsia="Times New Roman" w:hAnsi="Times New Roman"/>
          <w:sz w:val="18"/>
          <w:szCs w:val="18"/>
          <w:i w:val="1"/>
          <w:iCs w:val="1"/>
          <w:color w:val="auto"/>
        </w:rPr>
        <w:t>directeur général</w:t>
      </w:r>
      <w:r>
        <w:rPr>
          <w:rFonts w:ascii="Times New Roman" w:cs="Times New Roman" w:eastAsia="Times New Roman" w:hAnsi="Times New Roman"/>
          <w:sz w:val="18"/>
          <w:szCs w:val="18"/>
          <w:color w:val="auto"/>
        </w:rPr>
        <w:t>) or Chief Financial Officer (</w:t>
      </w:r>
      <w:r>
        <w:rPr>
          <w:rFonts w:ascii="Times New Roman" w:cs="Times New Roman" w:eastAsia="Times New Roman" w:hAnsi="Times New Roman"/>
          <w:sz w:val="18"/>
          <w:szCs w:val="18"/>
          <w:i w:val="1"/>
          <w:iCs w:val="1"/>
          <w:color w:val="auto"/>
        </w:rPr>
        <w:t>directeur des affaires financières</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Notice Date</w:t>
      </w:r>
      <w:r>
        <w:rPr>
          <w:rFonts w:ascii="Times New Roman" w:cs="Times New Roman" w:eastAsia="Times New Roman" w:hAnsi="Times New Roman"/>
          <w:sz w:val="18"/>
          <w:szCs w:val="18"/>
          <w:color w:val="auto"/>
        </w:rPr>
        <w:t xml:space="preserve">” means any Trading Day during the Agency Period that an Issuance Notice is delivered pursuant to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Price</w:t>
      </w:r>
      <w:r>
        <w:rPr>
          <w:rFonts w:ascii="Times New Roman" w:cs="Times New Roman" w:eastAsia="Times New Roman" w:hAnsi="Times New Roman"/>
          <w:sz w:val="18"/>
          <w:szCs w:val="18"/>
          <w:color w:val="auto"/>
        </w:rPr>
        <w:t>” means the Sales Price less the Selling Commission.</w:t>
      </w:r>
    </w:p>
    <w:p>
      <w:pPr>
        <w:spacing w:after="0" w:line="225"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Maximum Program Amount</w:t>
      </w:r>
      <w:r>
        <w:rPr>
          <w:rFonts w:ascii="Times New Roman" w:cs="Times New Roman" w:eastAsia="Times New Roman" w:hAnsi="Times New Roman"/>
          <w:sz w:val="17"/>
          <w:szCs w:val="17"/>
          <w:color w:val="auto"/>
        </w:rPr>
        <w:t>” means ADSs with an aggregate Sales Price of the lesser of (a) the number or dollar amount of Common Shares in the form of ADSs registered under the effective Registration Statement (defined below) pursuant to which the offering is being made, (b) the dollar amount</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of the nominal value of the Common Shares available to be issued pursuant to the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resolution (or any substitute resolutions thereto adopted at a subsequent shareholders’ meeting), which is currently the equivalent of 4,600,000 euros, provided, however, that the nominal amount of the capital</w:t>
      </w:r>
    </w:p>
    <w:p>
      <w:pPr>
        <w:spacing w:after="0" w:line="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increases that may result from the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resolution shall be deducted from the overall ceiling of 5,175,000 euros set forth in the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resolution, (c) the number or dollar amount of Common Shares permitted to be sold under Form F-3 (including General Instruction I.B.5 thereof, if applicable), (d) the number or dollar amount of ADSs for which the Company has filed a Prospectus (defined below) or (e) the number of Underlying Common Shares issued over a 12-month rolling period representing, once issued together with all the other Common Shares which have been admitted to trading on the regulated market of Euronext in Paris over the same 12-month period without a French listing prospectus approved by the French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being less than 20% of the total number of the Company’s securities already admitted to trading on Euronext on the date the admission to trading of the Underlying Common Shares is requested.</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Proceeds</w:t>
      </w:r>
      <w:r>
        <w:rPr>
          <w:rFonts w:ascii="Times New Roman" w:cs="Times New Roman" w:eastAsia="Times New Roman" w:hAnsi="Times New Roman"/>
          <w:sz w:val="18"/>
          <w:szCs w:val="18"/>
          <w:color w:val="auto"/>
        </w:rPr>
        <w:t>” means the Issuance Amount due to the Company on any Settlement Date less the Issuance Commission due to the Agent on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Global Select Market or such other national securities exchange on which the ADSs are then listed.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Sales Price</w:t>
      </w:r>
      <w:r>
        <w:rPr>
          <w:rFonts w:ascii="Times New Roman" w:cs="Times New Roman" w:eastAsia="Times New Roman" w:hAnsi="Times New Roman"/>
          <w:sz w:val="18"/>
          <w:szCs w:val="18"/>
          <w:color w:val="auto"/>
        </w:rPr>
        <w:t>” means the actual sale execution price of each Share placed by the Agent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Commission</w:t>
      </w:r>
      <w:r>
        <w:rPr>
          <w:rFonts w:ascii="Times New Roman" w:cs="Times New Roman" w:eastAsia="Times New Roman" w:hAnsi="Times New Roman"/>
          <w:sz w:val="18"/>
          <w:szCs w:val="18"/>
          <w:color w:val="auto"/>
        </w:rPr>
        <w:t>” means three percent (3.0%) of the Sales Price of each Share sold pursuant to this Agreement, or as otherwise agreed between the Company and the Agent with respect to any Shares sold pursuant to this Agreement.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means the second business day (or such other date as agreed between the Company and the Agent)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the ADSs to be sold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the Principal Market is open for trading.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REPRESENTATIONS AND WARRANTIES OF THE COMPANY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represents and warrants to, and agrees with, the Agent that as of (1) the date of this Agreement, (2) each Issuance Notice Date, (3) each Settlement Date, (4) each Triggering Event Date on which a certificate under </w:t>
      </w:r>
      <w:r>
        <w:rPr>
          <w:rFonts w:ascii="Times New Roman" w:cs="Times New Roman" w:eastAsia="Times New Roman" w:hAnsi="Times New Roman"/>
          <w:sz w:val="18"/>
          <w:szCs w:val="18"/>
          <w:u w:val="single" w:color="auto"/>
          <w:color w:val="auto"/>
        </w:rPr>
        <w:t>Section 4(p)</w:t>
      </w:r>
      <w:r>
        <w:rPr>
          <w:rFonts w:ascii="Times New Roman" w:cs="Times New Roman" w:eastAsia="Times New Roman" w:hAnsi="Times New Roman"/>
          <w:sz w:val="18"/>
          <w:szCs w:val="18"/>
          <w:color w:val="auto"/>
        </w:rPr>
        <w:t xml:space="preserve"> is delivered and (5) as of each Settlement Date (each of the times referenced above is referred to herein as a “</w:t>
      </w:r>
      <w:r>
        <w:rPr>
          <w:rFonts w:ascii="Times New Roman" w:cs="Times New Roman" w:eastAsia="Times New Roman" w:hAnsi="Times New Roman"/>
          <w:sz w:val="18"/>
          <w:szCs w:val="18"/>
          <w:b w:val="1"/>
          <w:bCs w:val="1"/>
          <w:color w:val="auto"/>
        </w:rPr>
        <w:t>Representation Date</w:t>
      </w:r>
      <w:r>
        <w:rPr>
          <w:rFonts w:ascii="Times New Roman" w:cs="Times New Roman" w:eastAsia="Times New Roman" w:hAnsi="Times New Roman"/>
          <w:sz w:val="18"/>
          <w:szCs w:val="18"/>
          <w:color w:val="auto"/>
        </w:rPr>
        <w:t>”), except as may be disclosed in the Prospectus (including any documents incorporated by reference therein and any supplements thereto) on or before a Representation Date:</w:t>
      </w:r>
    </w:p>
    <w:p>
      <w:pPr>
        <w:spacing w:after="0" w:line="180" w:lineRule="exact"/>
        <w:rPr>
          <w:sz w:val="20"/>
          <w:szCs w:val="20"/>
          <w:color w:val="auto"/>
        </w:rPr>
      </w:pPr>
    </w:p>
    <w:p>
      <w:pPr>
        <w:jc w:val="both"/>
        <w:ind w:firstLine="980"/>
        <w:spacing w:after="0" w:line="252" w:lineRule="auto"/>
        <w:tabs>
          <w:tab w:leader="none" w:pos="12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or will file, with the Commission a shelf registration statement on Form F-3 that contains a base prospectus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6 of Form F-3 under the Securities Act as from time to time amended or supplemented, is herein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6 of Form F-3 under the Securities Act, in each case, as from time to time amended or supplemented, is referred to herein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except that if any revised prospectus is provided to the Agent by the Company for use in connection with the offering of the Shares that is not required to be filed by the Company pursuant to Rule 424(b) under the Securities Act, the term “Prospectus” shall refer to such revised prospectus from and after the time it is first provided to the Agent for such use. The Registration Statement at the time it originally became effective is herein called the “</w:t>
      </w:r>
      <w:r>
        <w:rPr>
          <w:rFonts w:ascii="Times New Roman" w:cs="Times New Roman" w:eastAsia="Times New Roman" w:hAnsi="Times New Roman"/>
          <w:sz w:val="18"/>
          <w:szCs w:val="18"/>
          <w:b w:val="1"/>
          <w:bCs w:val="1"/>
          <w:color w:val="auto"/>
        </w:rPr>
        <w:t>Original Registration Statement</w:t>
      </w:r>
      <w:r>
        <w:rPr>
          <w:rFonts w:ascii="Times New Roman" w:cs="Times New Roman" w:eastAsia="Times New Roman" w:hAnsi="Times New Roman"/>
          <w:sz w:val="18"/>
          <w:szCs w:val="18"/>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95" w:lineRule="exact"/>
        <w:rPr>
          <w:sz w:val="20"/>
          <w:szCs w:val="20"/>
          <w:color w:val="auto"/>
        </w:rPr>
      </w:pPr>
    </w:p>
    <w:p>
      <w:pPr>
        <w:jc w:val="both"/>
        <w:ind w:firstLine="1102"/>
        <w:spacing w:after="0" w:line="258" w:lineRule="auto"/>
        <w:rPr>
          <w:sz w:val="20"/>
          <w:szCs w:val="20"/>
          <w:color w:val="auto"/>
        </w:rPr>
      </w:pPr>
      <w:r>
        <w:rPr>
          <w:rFonts w:ascii="Times New Roman" w:cs="Times New Roman" w:eastAsia="Times New Roman" w:hAnsi="Times New Roman"/>
          <w:sz w:val="18"/>
          <w:szCs w:val="18"/>
          <w:color w:val="auto"/>
        </w:rPr>
        <w:t>A registration statement on Form F-6 (File No. 333-255301), and any amendments thereto, in respect of the Shares has been filed with the Commission; such registration statement in the form heretofore delivered to the Agent and, excluding exhibits, to the Agent, has been declared effective by the Commission; no other document with respect to such registration statement has heretofore been filed with the Commission (the various parts of such registration statement, including all exhibits thereto, each as amended at the time such part of the registration statement became effective, being hereinafter called the “</w:t>
      </w:r>
      <w:r>
        <w:rPr>
          <w:rFonts w:ascii="Times New Roman" w:cs="Times New Roman" w:eastAsia="Times New Roman" w:hAnsi="Times New Roman"/>
          <w:sz w:val="18"/>
          <w:szCs w:val="18"/>
          <w:b w:val="1"/>
          <w:bCs w:val="1"/>
          <w:color w:val="auto"/>
        </w:rPr>
        <w:t>ADS Registration Statement</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both"/>
        <w:ind w:firstLine="1102"/>
        <w:spacing w:after="0" w:line="254"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which is “contained,” “included” or “stated” in the Registration Statement, the ADS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the ADS Registration Statement or the Prospectus, as the case may be, as of any specified date; and all references in this Agreement to amendments or supplements to the Registration Statement, the ADS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the ADS Registration Statement or the Prospectus, as the case may be, as of any specified date.</w:t>
      </w:r>
    </w:p>
    <w:p>
      <w:pPr>
        <w:spacing w:after="0" w:line="192" w:lineRule="exact"/>
        <w:rPr>
          <w:sz w:val="20"/>
          <w:szCs w:val="20"/>
          <w:color w:val="auto"/>
        </w:rPr>
      </w:pPr>
    </w:p>
    <w:p>
      <w:pPr>
        <w:jc w:val="both"/>
        <w:ind w:firstLine="1102"/>
        <w:spacing w:after="0" w:line="261" w:lineRule="auto"/>
        <w:rPr>
          <w:sz w:val="20"/>
          <w:szCs w:val="20"/>
          <w:color w:val="auto"/>
        </w:rPr>
      </w:pPr>
      <w:r>
        <w:rPr>
          <w:rFonts w:ascii="Times New Roman" w:cs="Times New Roman" w:eastAsia="Times New Roman" w:hAnsi="Times New Roman"/>
          <w:sz w:val="18"/>
          <w:szCs w:val="18"/>
          <w:color w:val="auto"/>
        </w:rPr>
        <w:t>At the time the Original Registration Statement was or will be declared effective and at the time the Company’s most recent annual report on Form 20-F was filed with the Commission, if later, the Company met the then-applicable requirements for use of Form F-3 under the Securities Act. During the Agency Period, each time the Company files an annual report on Form 20-F the Company will (i) meet the then-applicable requirements for use of Form F-3 under the Securities Act or (ii) promptly notify the Agent that it does not meet such requirements.</w:t>
      </w:r>
    </w:p>
    <w:p>
      <w:pPr>
        <w:spacing w:after="0" w:line="180" w:lineRule="exact"/>
        <w:rPr>
          <w:sz w:val="20"/>
          <w:szCs w:val="20"/>
          <w:color w:val="auto"/>
        </w:rPr>
      </w:pPr>
    </w:p>
    <w:p>
      <w:pPr>
        <w:jc w:val="both"/>
        <w:ind w:firstLine="980"/>
        <w:spacing w:after="0" w:line="258" w:lineRule="auto"/>
        <w:tabs>
          <w:tab w:leader="none" w:pos="129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Registration Requirements</w:t>
      </w:r>
      <w:r>
        <w:rPr>
          <w:rFonts w:ascii="Times New Roman" w:cs="Times New Roman" w:eastAsia="Times New Roman" w:hAnsi="Times New Roman"/>
          <w:sz w:val="18"/>
          <w:szCs w:val="18"/>
          <w:color w:val="auto"/>
        </w:rPr>
        <w:t>. Prior to the issuance of the first Issuance Notice, the Original Registration Statement and any Rule 462(b) Registration Statement shall have been declared effective by the Commission under the Securities Act. The Company has complied to the Commission’s satisfaction with all requests of the Commission for additional or supplemental information. No stop order suspending the effectiveness of the Registration Statement, the ADS Registration Statement or any Rule 462(b) Registration Statement is in effect and no proceedings for such purpose have been instituted or are pending or, to the best knowledge of the Company, are contemplated or threatened by the Commission.</w:t>
      </w:r>
    </w:p>
    <w:p>
      <w:pPr>
        <w:spacing w:after="0" w:line="183" w:lineRule="exact"/>
        <w:rPr>
          <w:sz w:val="20"/>
          <w:szCs w:val="20"/>
          <w:color w:val="auto"/>
        </w:rPr>
      </w:pPr>
    </w:p>
    <w:p>
      <w:pPr>
        <w:jc w:val="both"/>
        <w:ind w:firstLine="1102"/>
        <w:spacing w:after="0" w:line="252" w:lineRule="auto"/>
        <w:rPr>
          <w:sz w:val="20"/>
          <w:szCs w:val="20"/>
          <w:color w:val="auto"/>
        </w:rPr>
      </w:pPr>
      <w:r>
        <w:rPr>
          <w:rFonts w:ascii="Times New Roman" w:cs="Times New Roman" w:eastAsia="Times New Roman" w:hAnsi="Times New Roman"/>
          <w:sz w:val="18"/>
          <w:szCs w:val="18"/>
          <w:color w:val="auto"/>
        </w:rPr>
        <w:t>The Prospectus when filed complied or will comply in all material respects with the Securities Act and, if filed with the Commission through its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(except as may be permitted by Regulation S-T under the Securities Act), was or will be identical to the copy thereof delivered to the Agent for use in connection with the issuance and sale of the Shares. Each of the Registration Statement, the ADS Registration Statement, any Rule 462(b) Registration Statement and any post-effective amendment thereto, at the time it became or becomes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Times New Roman" w:cs="Times New Roman" w:eastAsia="Times New Roman" w:hAnsi="Times New Roman"/>
          <w:sz w:val="18"/>
          <w:szCs w:val="18"/>
          <w:b w:val="1"/>
          <w:bCs w:val="1"/>
          <w:color w:val="auto"/>
        </w:rPr>
        <w:t>Time of Sale Information</w:t>
      </w:r>
      <w:r>
        <w:rPr>
          <w:rFonts w:ascii="Times New Roman" w:cs="Times New Roman" w:eastAsia="Times New Roman" w:hAnsi="Times New Roman"/>
          <w:sz w:val="18"/>
          <w:szCs w:val="18"/>
          <w:color w:val="auto"/>
        </w:rPr>
        <w:t>”) did not contain any untrue statement of a material fact or omit to state a material fact necessary to make the statements therein, in the 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‎Section 6 below. There are no contracts or other documents required to be described in the Prospectus or to be filed as exhibits to the Registration Statement or the ADS Registration Statement which have not been described or filed as required. The Registration Statement, the ADS Registration Statement and the offer and sale of the Shares as contemplated hereby meet the requirements of Rule 415 under the Securities Act and comply in all material respects with said rule.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both"/>
        <w:ind w:firstLine="1102"/>
        <w:spacing w:after="0" w:line="256" w:lineRule="auto"/>
        <w:rPr>
          <w:sz w:val="20"/>
          <w:szCs w:val="20"/>
          <w:color w:val="auto"/>
        </w:rPr>
      </w:pPr>
      <w:r>
        <w:rPr>
          <w:rFonts w:ascii="Times New Roman" w:cs="Times New Roman" w:eastAsia="Times New Roman" w:hAnsi="Times New Roman"/>
          <w:sz w:val="18"/>
          <w:szCs w:val="18"/>
          <w:color w:val="auto"/>
        </w:rPr>
        <w:t xml:space="preserve">All information and other disclosure materials made publicly available by the Company are true, complete and accurate in all material respects, and comply with the requirements of applicable French law, including French securities law, the </w:t>
      </w:r>
      <w:r>
        <w:rPr>
          <w:rFonts w:ascii="Times New Roman" w:cs="Times New Roman" w:eastAsia="Times New Roman" w:hAnsi="Times New Roman"/>
          <w:sz w:val="18"/>
          <w:szCs w:val="18"/>
          <w:i w:val="1"/>
          <w:iCs w:val="1"/>
          <w:color w:val="auto"/>
        </w:rPr>
        <w:t>Autorité des Marchés Financiers’s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AMF</w:t>
      </w:r>
      <w:r>
        <w:rPr>
          <w:rFonts w:ascii="Times New Roman" w:cs="Times New Roman" w:eastAsia="Times New Roman" w:hAnsi="Times New Roman"/>
          <w:sz w:val="18"/>
          <w:szCs w:val="18"/>
          <w:color w:val="auto"/>
        </w:rPr>
        <w:t>”) regulation and guidelines, the European Regulation (EU) no. 596/2014, as amended, the European Regulation (EU) no. 2017/1129, as amended, the European Commission Delegated Regulation (EU) no. 2019/980, as amended, and the European Commission Delegated Regulation (EU) no. 2019.979, as amended. The Prospectus shall not contain any material information regarding the Company that has not been made available by the Company to the public in France;</w:t>
      </w:r>
    </w:p>
    <w:p>
      <w:pPr>
        <w:spacing w:after="0" w:line="187" w:lineRule="exact"/>
        <w:rPr>
          <w:sz w:val="20"/>
          <w:szCs w:val="20"/>
          <w:color w:val="auto"/>
        </w:rPr>
      </w:pPr>
    </w:p>
    <w:p>
      <w:pPr>
        <w:jc w:val="both"/>
        <w:ind w:firstLine="980"/>
        <w:spacing w:after="0" w:line="253" w:lineRule="auto"/>
        <w:tabs>
          <w:tab w:leader="none" w:pos="1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Ineligible Issuer Status</w:t>
      </w:r>
      <w:r>
        <w:rPr>
          <w:rFonts w:ascii="Times New Roman" w:cs="Times New Roman" w:eastAsia="Times New Roman" w:hAnsi="Times New Roman"/>
          <w:sz w:val="18"/>
          <w:szCs w:val="18"/>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the ADS Registration Statement or the Prospectus, including any document incorporated by reference therein. Except for the Free Writing Prospectuses, if any, and electronic road shows, if any, furnished to the Agent before first use, the Company has not prepared, used or referred to, and will not, without the Agent’s prior consent, prepare, use or refer to, any Free Writing Prospectus.</w:t>
      </w:r>
    </w:p>
    <w:p>
      <w:pPr>
        <w:spacing w:after="0" w:line="194" w:lineRule="exact"/>
        <w:rPr>
          <w:rFonts w:ascii="Times New Roman" w:cs="Times New Roman" w:eastAsia="Times New Roman" w:hAnsi="Times New Roman"/>
          <w:sz w:val="18"/>
          <w:szCs w:val="18"/>
          <w:color w:val="auto"/>
        </w:rPr>
      </w:pPr>
    </w:p>
    <w:p>
      <w:pPr>
        <w:jc w:val="both"/>
        <w:ind w:firstLine="980"/>
        <w:spacing w:after="0" w:line="258" w:lineRule="auto"/>
        <w:tabs>
          <w:tab w:leader="none" w:pos="12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The documents incorporated or deemed to be incorporated by reference in the Registration Statement, the ADS Registration Statement and the Prospectus, at the time they were or hereafter are filed with the Commission, complied and will comply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jc w:val="both"/>
        <w:ind w:firstLine="980"/>
        <w:spacing w:after="0" w:line="256" w:lineRule="auto"/>
        <w:tabs>
          <w:tab w:leader="none" w:pos="128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Compliance</w:t>
      </w:r>
      <w:r>
        <w:rPr>
          <w:rFonts w:ascii="Times New Roman" w:cs="Times New Roman" w:eastAsia="Times New Roman" w:hAnsi="Times New Roman"/>
          <w:sz w:val="18"/>
          <w:szCs w:val="18"/>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the ADS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jc w:val="both"/>
        <w:ind w:firstLine="980"/>
        <w:spacing w:after="0" w:line="252" w:lineRule="auto"/>
        <w:tabs>
          <w:tab w:leader="none" w:pos="124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Neither the Company nor any of its subsidiaries has, since the date of the latest audited financial statements included in the Prospectus, (i) sustained any material loss or material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Prospectus; and, since the respective dates as of which information is given in each of the Registration Statement and the Prospectus, there has not been (x) any change in the share capital (other than as a result of (i) the exercise, if any, of options or the award, if any, of options or restricted shares in the ordinary course of business pursuant to the Company’s equity plans that are described in the Prospectus or (ii) the issuance, if any, of shares upon conversion of Company securities as described in the Prospectus) or long-term debt of the Company or any of its subsidiaries (y) any Material Adverse Change (as defined below); as used in this Agreement, “</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shall mean any material adverse change or effect, or any development involving a prospective material adverse change or effect, in or affecting (i) the business, properties, general affairs, management, financial position, shareholders’ equity or results of operations of the Company and its subsidiaries, taken as a whole, except as set forth or contemplated in the Prospectus, or (ii) the ability of the Company to perform its obligations under this Agreement, including the issuance and sale of the Shares, or to consummate the transactions contemplated in the Prospectus;</w:t>
      </w:r>
    </w:p>
    <w:p>
      <w:pPr>
        <w:spacing w:after="0" w:line="197" w:lineRule="exact"/>
        <w:rPr>
          <w:rFonts w:ascii="Times New Roman" w:cs="Times New Roman" w:eastAsia="Times New Roman" w:hAnsi="Times New Roman"/>
          <w:sz w:val="18"/>
          <w:szCs w:val="18"/>
          <w:color w:val="auto"/>
        </w:rPr>
      </w:pPr>
    </w:p>
    <w:p>
      <w:pPr>
        <w:jc w:val="both"/>
        <w:ind w:firstLine="980"/>
        <w:spacing w:after="0" w:line="256" w:lineRule="auto"/>
        <w:tabs>
          <w:tab w:leader="none" w:pos="12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Real and Personal Property</w:t>
      </w:r>
      <w:r>
        <w:rPr>
          <w:rFonts w:ascii="Times New Roman" w:cs="Times New Roman" w:eastAsia="Times New Roman" w:hAnsi="Times New Roman"/>
          <w:sz w:val="18"/>
          <w:szCs w:val="18"/>
          <w:color w:val="auto"/>
        </w:rPr>
        <w:t>. The Company and its subsidiaries have good and marketable title in fee simple to all real property and good and marketable title to all personal property owned by them, in each case free and clear of all liens, encumbrances and defects except such as are described in the Prospectus or such as do not materially affect the value of such property in the aggregate and do not materially interfere with the use made and proposed to be made of such property by the Company and its subsidiaries; and any real property and buildings held under lease by the Company and its subsidiaries are, to the Company’s knowledge, held by them under valid, subsisting and enforceable leases with such exceptions as are not material and do not materially interfere with the use made and proposed to be made of such property and buildings by the Company and its subsidiaries;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both"/>
        <w:ind w:firstLine="980"/>
        <w:spacing w:after="0" w:line="253" w:lineRule="auto"/>
        <w:tabs>
          <w:tab w:leader="none" w:pos="127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and Good Standing of the Company</w:t>
      </w:r>
      <w:r>
        <w:rPr>
          <w:rFonts w:ascii="Times New Roman" w:cs="Times New Roman" w:eastAsia="Times New Roman" w:hAnsi="Times New Roman"/>
          <w:sz w:val="18"/>
          <w:szCs w:val="18"/>
          <w:color w:val="auto"/>
        </w:rPr>
        <w:t xml:space="preserve">. The Company is duly constituted as a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xml:space="preserve"> incorporated under the laws of France and registered at the Nantes Trade and Companies Registry under the number 422 497 560. The Company exists validly, operates in all material respects in accordance with the laws and regulations that apply to it and has made all the filings, statements and registrations required by the competent authorities for the purpose of its activities. Each member of the Management Board (</w:t>
      </w:r>
      <w:r>
        <w:rPr>
          <w:rFonts w:ascii="Times New Roman" w:cs="Times New Roman" w:eastAsia="Times New Roman" w:hAnsi="Times New Roman"/>
          <w:sz w:val="18"/>
          <w:szCs w:val="18"/>
          <w:i w:val="1"/>
          <w:iCs w:val="1"/>
          <w:color w:val="auto"/>
        </w:rPr>
        <w:t>Directoire</w:t>
      </w:r>
      <w:r>
        <w:rPr>
          <w:rFonts w:ascii="Times New Roman" w:cs="Times New Roman" w:eastAsia="Times New Roman" w:hAnsi="Times New Roman"/>
          <w:sz w:val="18"/>
          <w:szCs w:val="18"/>
          <w:color w:val="auto"/>
        </w:rPr>
        <w:t>) and of the Supervisory Board (</w:t>
      </w:r>
      <w:r>
        <w:rPr>
          <w:rFonts w:ascii="Times New Roman" w:cs="Times New Roman" w:eastAsia="Times New Roman" w:hAnsi="Times New Roman"/>
          <w:sz w:val="18"/>
          <w:szCs w:val="18"/>
          <w:i w:val="1"/>
          <w:iCs w:val="1"/>
          <w:color w:val="auto"/>
        </w:rPr>
        <w:t>Conseil de Surveillance</w:t>
      </w:r>
      <w:r>
        <w:rPr>
          <w:rFonts w:ascii="Times New Roman" w:cs="Times New Roman" w:eastAsia="Times New Roman" w:hAnsi="Times New Roman"/>
          <w:sz w:val="18"/>
          <w:szCs w:val="18"/>
          <w:color w:val="auto"/>
        </w:rPr>
        <w:t>) and the Chairman of the Management Board and Chief Executive Officer (</w:t>
      </w:r>
      <w:r>
        <w:rPr>
          <w:rFonts w:ascii="Times New Roman" w:cs="Times New Roman" w:eastAsia="Times New Roman" w:hAnsi="Times New Roman"/>
          <w:sz w:val="18"/>
          <w:szCs w:val="18"/>
          <w:i w:val="1"/>
          <w:iCs w:val="1"/>
          <w:color w:val="auto"/>
        </w:rPr>
        <w:t>Président du Directoire et Directeur Général</w:t>
      </w:r>
      <w:r>
        <w:rPr>
          <w:rFonts w:ascii="Times New Roman" w:cs="Times New Roman" w:eastAsia="Times New Roman" w:hAnsi="Times New Roman"/>
          <w:sz w:val="18"/>
          <w:szCs w:val="18"/>
          <w:color w:val="auto"/>
        </w:rPr>
        <w:t>) and the Chairman of the Supervisory Board (</w:t>
      </w:r>
      <w:r>
        <w:rPr>
          <w:rFonts w:ascii="Times New Roman" w:cs="Times New Roman" w:eastAsia="Times New Roman" w:hAnsi="Times New Roman"/>
          <w:sz w:val="18"/>
          <w:szCs w:val="18"/>
          <w:i w:val="1"/>
          <w:iCs w:val="1"/>
          <w:color w:val="auto"/>
        </w:rPr>
        <w:t>Président du Conseil de Surveillance</w:t>
      </w:r>
      <w:r>
        <w:rPr>
          <w:rFonts w:ascii="Times New Roman" w:cs="Times New Roman" w:eastAsia="Times New Roman" w:hAnsi="Times New Roman"/>
          <w:sz w:val="18"/>
          <w:szCs w:val="18"/>
          <w:color w:val="auto"/>
        </w:rPr>
        <w:t>) have been lawfully appointed or elected and are validly in office in accordance with the law and, perform their respective duties in compliance with French law and the Company’s by-laws (</w:t>
      </w:r>
      <w:r>
        <w:rPr>
          <w:rFonts w:ascii="Times New Roman" w:cs="Times New Roman" w:eastAsia="Times New Roman" w:hAnsi="Times New Roman"/>
          <w:sz w:val="18"/>
          <w:szCs w:val="18"/>
          <w:i w:val="1"/>
          <w:iCs w:val="1"/>
          <w:color w:val="auto"/>
        </w:rPr>
        <w:t>statuts</w:t>
      </w:r>
      <w:r>
        <w:rPr>
          <w:rFonts w:ascii="Times New Roman" w:cs="Times New Roman" w:eastAsia="Times New Roman" w:hAnsi="Times New Roman"/>
          <w:sz w:val="18"/>
          <w:szCs w:val="18"/>
          <w:color w:val="auto"/>
        </w:rPr>
        <w:t>) and internal regulations; The Company and each of its subsidiaries has been (i) duly organized and is validly existing and in good standing (where such concept exists) under the laws of its jurisdiction of organization, with power and authority (corporate and other) to own and/or lease its properties and conduct its business as described in the Prospectus, and</w:t>
      </w:r>
    </w:p>
    <w:p>
      <w:pPr>
        <w:jc w:val="both"/>
        <w:ind w:firstLine="8"/>
        <w:spacing w:after="0" w:line="255" w:lineRule="auto"/>
        <w:tabs>
          <w:tab w:leader="none" w:pos="27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qualified as a foreign corporation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Change.</w:t>
      </w:r>
    </w:p>
    <w:p>
      <w:pPr>
        <w:spacing w:after="0" w:line="185" w:lineRule="exact"/>
        <w:rPr>
          <w:rFonts w:ascii="Times New Roman" w:cs="Times New Roman" w:eastAsia="Times New Roman" w:hAnsi="Times New Roman"/>
          <w:sz w:val="18"/>
          <w:szCs w:val="18"/>
          <w:color w:val="auto"/>
        </w:rPr>
      </w:pPr>
    </w:p>
    <w:p>
      <w:pPr>
        <w:jc w:val="both"/>
        <w:ind w:firstLine="980"/>
        <w:spacing w:after="0" w:line="261" w:lineRule="auto"/>
        <w:tabs>
          <w:tab w:leader="none" w:pos="123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for Appointment or Safeguard</w:t>
      </w:r>
      <w:r>
        <w:rPr>
          <w:rFonts w:ascii="Times New Roman" w:cs="Times New Roman" w:eastAsia="Times New Roman" w:hAnsi="Times New Roman"/>
          <w:sz w:val="18"/>
          <w:szCs w:val="18"/>
          <w:color w:val="auto"/>
        </w:rPr>
        <w:t>. With respect to the Company or to its subsidiaries (a) no application for the appointment of an ad hoc representative (</w:t>
      </w:r>
      <w:r>
        <w:rPr>
          <w:rFonts w:ascii="Times New Roman" w:cs="Times New Roman" w:eastAsia="Times New Roman" w:hAnsi="Times New Roman"/>
          <w:sz w:val="18"/>
          <w:szCs w:val="18"/>
          <w:i w:val="1"/>
          <w:iCs w:val="1"/>
          <w:color w:val="auto"/>
        </w:rPr>
        <w:t>mandataire ad hoc</w:t>
      </w:r>
      <w:r>
        <w:rPr>
          <w:rFonts w:ascii="Times New Roman" w:cs="Times New Roman" w:eastAsia="Times New Roman" w:hAnsi="Times New Roman"/>
          <w:sz w:val="18"/>
          <w:szCs w:val="18"/>
          <w:color w:val="auto"/>
        </w:rPr>
        <w:t>) has been made, (b) no application to enter into a safeguard procedure (</w:t>
      </w:r>
      <w:r>
        <w:rPr>
          <w:rFonts w:ascii="Times New Roman" w:cs="Times New Roman" w:eastAsia="Times New Roman" w:hAnsi="Times New Roman"/>
          <w:sz w:val="18"/>
          <w:szCs w:val="18"/>
          <w:i w:val="1"/>
          <w:iCs w:val="1"/>
          <w:color w:val="auto"/>
        </w:rPr>
        <w:t>procédure de sauvegarde</w:t>
      </w:r>
      <w:r>
        <w:rPr>
          <w:rFonts w:ascii="Times New Roman" w:cs="Times New Roman" w:eastAsia="Times New Roman" w:hAnsi="Times New Roman"/>
          <w:sz w:val="18"/>
          <w:szCs w:val="18"/>
          <w:color w:val="auto"/>
        </w:rPr>
        <w:t>) has been made,</w:t>
      </w:r>
    </w:p>
    <w:p>
      <w:pPr>
        <w:jc w:val="both"/>
        <w:ind w:firstLine="8"/>
        <w:spacing w:after="0" w:line="252"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application to enter into an accelerated safeguard procedure (</w:t>
      </w:r>
      <w:r>
        <w:rPr>
          <w:rFonts w:ascii="Times New Roman" w:cs="Times New Roman" w:eastAsia="Times New Roman" w:hAnsi="Times New Roman"/>
          <w:sz w:val="18"/>
          <w:szCs w:val="18"/>
          <w:i w:val="1"/>
          <w:iCs w:val="1"/>
          <w:color w:val="auto"/>
        </w:rPr>
        <w:t>procédure de sauvegarde accelérée</w:t>
      </w:r>
      <w:r>
        <w:rPr>
          <w:rFonts w:ascii="Times New Roman" w:cs="Times New Roman" w:eastAsia="Times New Roman" w:hAnsi="Times New Roman"/>
          <w:sz w:val="18"/>
          <w:szCs w:val="18"/>
          <w:color w:val="auto"/>
        </w:rPr>
        <w:t>) has been made, (d) no application to enter into a conciliation procedure (</w:t>
      </w:r>
      <w:r>
        <w:rPr>
          <w:rFonts w:ascii="Times New Roman" w:cs="Times New Roman" w:eastAsia="Times New Roman" w:hAnsi="Times New Roman"/>
          <w:sz w:val="18"/>
          <w:szCs w:val="18"/>
          <w:i w:val="1"/>
          <w:iCs w:val="1"/>
          <w:color w:val="auto"/>
        </w:rPr>
        <w:t>procédure de conciliation</w:t>
      </w:r>
      <w:r>
        <w:rPr>
          <w:rFonts w:ascii="Times New Roman" w:cs="Times New Roman" w:eastAsia="Times New Roman" w:hAnsi="Times New Roman"/>
          <w:sz w:val="18"/>
          <w:szCs w:val="18"/>
          <w:color w:val="auto"/>
        </w:rPr>
        <w:t>) has been made, (e) no application for the transfer of whole of the business (</w:t>
      </w:r>
      <w:r>
        <w:rPr>
          <w:rFonts w:ascii="Times New Roman" w:cs="Times New Roman" w:eastAsia="Times New Roman" w:hAnsi="Times New Roman"/>
          <w:sz w:val="18"/>
          <w:szCs w:val="18"/>
          <w:i w:val="1"/>
          <w:iCs w:val="1"/>
          <w:color w:val="auto"/>
        </w:rPr>
        <w:t>cession totale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l’entreprise</w:t>
      </w:r>
      <w:r>
        <w:rPr>
          <w:rFonts w:ascii="Times New Roman" w:cs="Times New Roman" w:eastAsia="Times New Roman" w:hAnsi="Times New Roman"/>
          <w:sz w:val="18"/>
          <w:szCs w:val="18"/>
          <w:color w:val="auto"/>
        </w:rPr>
        <w:t>) has been made, (f) no notice of judicial reorganisation (</w:t>
      </w:r>
      <w:r>
        <w:rPr>
          <w:rFonts w:ascii="Times New Roman" w:cs="Times New Roman" w:eastAsia="Times New Roman" w:hAnsi="Times New Roman"/>
          <w:sz w:val="18"/>
          <w:szCs w:val="18"/>
          <w:i w:val="1"/>
          <w:iCs w:val="1"/>
          <w:color w:val="auto"/>
        </w:rPr>
        <w:t>redressement judiciaire</w:t>
      </w:r>
      <w:r>
        <w:rPr>
          <w:rFonts w:ascii="Times New Roman" w:cs="Times New Roman" w:eastAsia="Times New Roman" w:hAnsi="Times New Roman"/>
          <w:sz w:val="18"/>
          <w:szCs w:val="18"/>
          <w:color w:val="auto"/>
        </w:rPr>
        <w:t>), judicial liquidation (</w:t>
      </w:r>
      <w:r>
        <w:rPr>
          <w:rFonts w:ascii="Times New Roman" w:cs="Times New Roman" w:eastAsia="Times New Roman" w:hAnsi="Times New Roman"/>
          <w:sz w:val="18"/>
          <w:szCs w:val="18"/>
          <w:i w:val="1"/>
          <w:iCs w:val="1"/>
          <w:color w:val="auto"/>
        </w:rPr>
        <w:t>liquidation judiciaire</w:t>
      </w:r>
      <w:r>
        <w:rPr>
          <w:rFonts w:ascii="Times New Roman" w:cs="Times New Roman" w:eastAsia="Times New Roman" w:hAnsi="Times New Roman"/>
          <w:sz w:val="18"/>
          <w:szCs w:val="18"/>
          <w:color w:val="auto"/>
        </w:rPr>
        <w:t>) or voluntary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liquidation has been filed (g) no conveyance, assignment or other arrangement for the benefit of, or enters into a composition with, its creditors has been made and (h) no proceedings under any applicable laws before a court having competent jurisdiction over the Company or such Subsidiaries which has analogous effect to any of the proceedings referred to in this paragraph 2(i) is commenced, threatened or pending;</w:t>
      </w:r>
    </w:p>
    <w:p>
      <w:pPr>
        <w:spacing w:after="0" w:line="189"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confirms that the funds to come from the sale of the Shares will be used as described in the Prospectus;</w:t>
      </w:r>
    </w:p>
    <w:p>
      <w:pPr>
        <w:spacing w:after="0" w:line="225" w:lineRule="exact"/>
        <w:rPr>
          <w:rFonts w:ascii="Times New Roman" w:cs="Times New Roman" w:eastAsia="Times New Roman" w:hAnsi="Times New Roman"/>
          <w:sz w:val="18"/>
          <w:szCs w:val="18"/>
          <w:color w:val="auto"/>
        </w:rPr>
      </w:pPr>
    </w:p>
    <w:p>
      <w:pPr>
        <w:jc w:val="both"/>
        <w:ind w:firstLine="980"/>
        <w:spacing w:after="0" w:line="253" w:lineRule="auto"/>
        <w:tabs>
          <w:tab w:leader="none" w:pos="131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Company has an authorized capitalization as set forth in the Prospectus; and all of the issued share capital of the Company have been duly and validly authorized and issued and are fully paid and non-assessable and, except for the preferred shares, are freely negotiable and have been issued in compliance with French law and, to the extent applicable, all United States federal, state and local securities law and conform to the description of the ADSs and Common Shares and preferred shares contained in the Prospectus; and all of the issued share capital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 except for such liens or encumbrances described in the Prospectus. The description of the Company’s incentive plans including (i) the share subscription warrants (</w:t>
      </w:r>
      <w:r>
        <w:rPr>
          <w:rFonts w:ascii="Times New Roman" w:cs="Times New Roman" w:eastAsia="Times New Roman" w:hAnsi="Times New Roman"/>
          <w:sz w:val="18"/>
          <w:szCs w:val="18"/>
          <w:i w:val="1"/>
          <w:iCs w:val="1"/>
          <w:color w:val="auto"/>
        </w:rPr>
        <w:t>bons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souscription d’actions</w:t>
      </w:r>
      <w:r>
        <w:rPr>
          <w:rFonts w:ascii="Times New Roman" w:cs="Times New Roman" w:eastAsia="Times New Roman" w:hAnsi="Times New Roman"/>
          <w:sz w:val="18"/>
          <w:szCs w:val="18"/>
          <w:color w:val="auto"/>
        </w:rPr>
        <w:t>), (ii) the stock-options, (iii) the free shares (</w:t>
      </w:r>
      <w:r>
        <w:rPr>
          <w:rFonts w:ascii="Times New Roman" w:cs="Times New Roman" w:eastAsia="Times New Roman" w:hAnsi="Times New Roman"/>
          <w:sz w:val="18"/>
          <w:szCs w:val="18"/>
          <w:i w:val="1"/>
          <w:iCs w:val="1"/>
          <w:color w:val="auto"/>
        </w:rPr>
        <w:t>actions gratuites</w:t>
      </w:r>
      <w:r>
        <w:rPr>
          <w:rFonts w:ascii="Times New Roman" w:cs="Times New Roman" w:eastAsia="Times New Roman" w:hAnsi="Times New Roman"/>
          <w:sz w:val="18"/>
          <w:szCs w:val="18"/>
          <w:color w:val="auto"/>
        </w:rPr>
        <w:t>) and (iv) the convertible preferred shares and the rights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 set forth in the Prospectus, accurately and fairly present, in all material respects, the information required to be shown under applicable laws and regulations, with respect to such plans, arrangements, options and rights;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2" w:name="page13"/>
    <w:bookmarkEnd w:id="12"/>
    <w:p>
      <w:pPr>
        <w:jc w:val="both"/>
        <w:ind w:firstLine="972"/>
        <w:spacing w:after="0" w:line="237"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Total Number of Underlying Common Shares to be Issued</w:t>
      </w:r>
      <w:r>
        <w:rPr>
          <w:rFonts w:ascii="Times New Roman" w:cs="Times New Roman" w:eastAsia="Times New Roman" w:hAnsi="Times New Roman"/>
          <w:sz w:val="18"/>
          <w:szCs w:val="18"/>
          <w:color w:val="auto"/>
        </w:rPr>
        <w:t>. As of the date of each Issuance Notice and as of each Settlement Date, the number of Common Shares issued pursuant to the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resolution (or any substitute resolutions thereto adopted at a subsequent shareholders’ meeting), over a given rolling 12-months period represents, pursuant to this Agreement, once issued together with all the other Common Shares which have been admitted to trading on Euronext Paris over the same 12-month period without a French listing prospectus approved by the French </w:t>
      </w:r>
      <w:r>
        <w:rPr>
          <w:rFonts w:ascii="Times New Roman" w:cs="Times New Roman" w:eastAsia="Times New Roman" w:hAnsi="Times New Roman"/>
          <w:sz w:val="18"/>
          <w:szCs w:val="18"/>
          <w:i w:val="1"/>
          <w:iCs w:val="1"/>
          <w:color w:val="auto"/>
        </w:rPr>
        <w:t>Autorité des Marchés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Financiers</w:t>
      </w:r>
      <w:r>
        <w:rPr>
          <w:rFonts w:ascii="Times New Roman" w:cs="Times New Roman" w:eastAsia="Times New Roman" w:hAnsi="Times New Roman"/>
          <w:sz w:val="18"/>
          <w:szCs w:val="18"/>
          <w:color w:val="auto"/>
        </w:rPr>
        <w:t>, will be less than 20% of the total number of the Company’s securities Common Shares already admitted to trading on Euronext Paris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the admission to trading of the Underlying Common Shares is requested, in compliance with French law requirements;</w:t>
      </w:r>
    </w:p>
    <w:p>
      <w:pPr>
        <w:spacing w:after="0" w:line="201" w:lineRule="exact"/>
        <w:rPr>
          <w:sz w:val="20"/>
          <w:szCs w:val="20"/>
          <w:color w:val="auto"/>
        </w:rPr>
      </w:pPr>
    </w:p>
    <w:p>
      <w:pPr>
        <w:jc w:val="both"/>
        <w:ind w:firstLine="980"/>
        <w:spacing w:after="0" w:line="253" w:lineRule="auto"/>
        <w:tabs>
          <w:tab w:leader="none" w:pos="132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Shares</w:t>
      </w:r>
      <w:r>
        <w:rPr>
          <w:rFonts w:ascii="Times New Roman" w:cs="Times New Roman" w:eastAsia="Times New Roman" w:hAnsi="Times New Roman"/>
          <w:sz w:val="18"/>
          <w:szCs w:val="18"/>
          <w:color w:val="auto"/>
        </w:rPr>
        <w:t>. The Shares have been duly and validly authorized, and will conform in all material respects to their description contained in the Prospectus and the Deposit Agreement conforms in all material respects to its description in the Prospectus; upon delivery of the Issuance Decision contemplated by Section 3(b)(v) of this Agreement, the Underlying Common Shares and the Shares shall be duly authorized for issuance and sale pursuant to this Agreement, and subject to the payment of the purchase price for each Underlying Common Share and the applicable issuing of a certificate acknowledging such payment by the transfer agent (</w:t>
      </w:r>
      <w:r>
        <w:rPr>
          <w:rFonts w:ascii="Times New Roman" w:cs="Times New Roman" w:eastAsia="Times New Roman" w:hAnsi="Times New Roman"/>
          <w:sz w:val="18"/>
          <w:szCs w:val="18"/>
          <w:i w:val="1"/>
          <w:iCs w:val="1"/>
          <w:color w:val="auto"/>
        </w:rPr>
        <w:t>certificat du dépositaire</w:t>
      </w:r>
      <w:r>
        <w:rPr>
          <w:rFonts w:ascii="Times New Roman" w:cs="Times New Roman" w:eastAsia="Times New Roman" w:hAnsi="Times New Roman"/>
          <w:sz w:val="18"/>
          <w:szCs w:val="18"/>
          <w:color w:val="auto"/>
        </w:rPr>
        <w:t>) in accordance with article L.225-146 of the French Commercial Code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 commerce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Bank Certificate</w:t>
      </w:r>
      <w:r>
        <w:rPr>
          <w:rFonts w:ascii="Times New Roman" w:cs="Times New Roman" w:eastAsia="Times New Roman" w:hAnsi="Times New Roman"/>
          <w:sz w:val="18"/>
          <w:szCs w:val="18"/>
          <w:color w:val="auto"/>
        </w:rPr>
        <w:t>”), the Underlying Common Shares will be validly issued in accordance with Article L. 225-138 of the French</w:t>
      </w:r>
    </w:p>
    <w:p>
      <w:pPr>
        <w:spacing w:after="0" w:line="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Commercial Code and the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resolution of the Company’s combined general shareholders’ meeting held on June 23, 2022, fully paid, non-assessable and may be freely deposited by the Company with the Depositary against issuance of ADRs evidencing ADSs. The Company shall take all necessary steps to have the Shares admitted to the transactions of Euroclear France, Clearstream Banking SA, a public limited company (Luxembourg) and Euroclear Bank SA/NV (collectively, “</w:t>
      </w:r>
      <w:r>
        <w:rPr>
          <w:rFonts w:ascii="Times New Roman" w:cs="Times New Roman" w:eastAsia="Times New Roman" w:hAnsi="Times New Roman"/>
          <w:sz w:val="18"/>
          <w:szCs w:val="18"/>
          <w:b w:val="1"/>
          <w:bCs w:val="1"/>
          <w:color w:val="auto"/>
        </w:rPr>
        <w:t>Euroclear</w:t>
      </w:r>
      <w:r>
        <w:rPr>
          <w:rFonts w:ascii="Times New Roman" w:cs="Times New Roman" w:eastAsia="Times New Roman" w:hAnsi="Times New Roman"/>
          <w:sz w:val="18"/>
          <w:szCs w:val="18"/>
          <w:color w:val="auto"/>
        </w:rPr>
        <w:t>”) and to have the Shares admitted to trading on the regulated market of Euronext Paris on each Settlement Date, and no collateral, pledge, lien or other security will exist on any Shares, nor any third-party rights accorded by the Company;</w:t>
      </w:r>
    </w:p>
    <w:p>
      <w:pPr>
        <w:spacing w:after="0" w:line="198" w:lineRule="exact"/>
        <w:rPr>
          <w:sz w:val="20"/>
          <w:szCs w:val="20"/>
          <w:color w:val="auto"/>
        </w:rPr>
      </w:pPr>
    </w:p>
    <w:p>
      <w:pPr>
        <w:jc w:val="both"/>
        <w:ind w:firstLine="980"/>
        <w:spacing w:after="0" w:line="255" w:lineRule="auto"/>
        <w:tabs>
          <w:tab w:leader="none" w:pos="13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Preemptive Rights</w:t>
      </w:r>
      <w:r>
        <w:rPr>
          <w:rFonts w:ascii="Times New Roman" w:cs="Times New Roman" w:eastAsia="Times New Roman" w:hAnsi="Times New Roman"/>
          <w:sz w:val="18"/>
          <w:szCs w:val="18"/>
          <w:color w:val="auto"/>
        </w:rPr>
        <w:t>. The holders of outstanding shares of the Company are not entitled to preemptive rights (</w:t>
      </w:r>
      <w:r>
        <w:rPr>
          <w:rFonts w:ascii="Times New Roman" w:cs="Times New Roman" w:eastAsia="Times New Roman" w:hAnsi="Times New Roman"/>
          <w:sz w:val="18"/>
          <w:szCs w:val="18"/>
          <w:i w:val="1"/>
          <w:iCs w:val="1"/>
          <w:color w:val="auto"/>
        </w:rPr>
        <w:t>droit préférentiel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souscription</w:t>
      </w:r>
      <w:r>
        <w:rPr>
          <w:rFonts w:ascii="Times New Roman" w:cs="Times New Roman" w:eastAsia="Times New Roman" w:hAnsi="Times New Roman"/>
          <w:sz w:val="18"/>
          <w:szCs w:val="18"/>
          <w:color w:val="auto"/>
        </w:rPr>
        <w:t>), priority rights (</w:t>
      </w:r>
      <w:r>
        <w:rPr>
          <w:rFonts w:ascii="Times New Roman" w:cs="Times New Roman" w:eastAsia="Times New Roman" w:hAnsi="Times New Roman"/>
          <w:sz w:val="18"/>
          <w:szCs w:val="18"/>
          <w:i w:val="1"/>
          <w:iCs w:val="1"/>
          <w:color w:val="auto"/>
        </w:rPr>
        <w:t>délai de priorité</w:t>
      </w:r>
      <w:r>
        <w:rPr>
          <w:rFonts w:ascii="Times New Roman" w:cs="Times New Roman" w:eastAsia="Times New Roman" w:hAnsi="Times New Roman"/>
          <w:sz w:val="18"/>
          <w:szCs w:val="18"/>
          <w:color w:val="auto"/>
        </w:rPr>
        <w:t>) or other similar rights to subscribe for the Shares, except for any such rights as have been effectively waived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complied with; and, except as set forth in the Prospectus, no options, warrants, preemptive rights, rights of first refusal or other rights to purchase, agreements or other obligations to issue, or rights to convert any obligations into or exchange any securities for, shares of share capital of or ownership interests in the Company are outstanding. All the outstanding shares of the subsidiaries have been duly and validly authorized and issued and are fully paid and nonassessable, and, except as otherwise set forth in the Prospectus, all outstanding shares of capital stock of the subsidiaries are owned by the Company either directly or through the Subsidiaries free and clear of any perfected security interest or any other security interests, claims, liens or encumbrances;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jc w:val="both"/>
        <w:ind w:firstLine="980"/>
        <w:spacing w:after="0" w:line="256" w:lineRule="auto"/>
        <w:tabs>
          <w:tab w:leader="none" w:pos="12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ADRs</w:t>
      </w:r>
      <w:r>
        <w:rPr>
          <w:rFonts w:ascii="Times New Roman" w:cs="Times New Roman" w:eastAsia="Times New Roman" w:hAnsi="Times New Roman"/>
          <w:sz w:val="18"/>
          <w:szCs w:val="18"/>
          <w:color w:val="auto"/>
        </w:rPr>
        <w:t>. Upon the due issuance by the Depositary of ADRs evidencing ADSs against the deposit of the Underlying Common Shares in accordance with the provisions of the Deposit Agreement, such ADRs evidencing ADSs will be duly and validly issued under the Deposit Agreement and will be freely transferable by the Company to or for the account of the Agent; and there are no restrictions on subsequent transfers of the Underlying Common Shares or the Shares under the laws of France or the United States except as described in the Registration Statement and the Prospectus. Persons in whose names such ADRs evidencing ADSs are registered will be entitled to the rights of registered holders of ADRs evidencing ADSs specified therein and in the Deposit Agreement;</w:t>
      </w:r>
    </w:p>
    <w:p>
      <w:pPr>
        <w:spacing w:after="0" w:line="187" w:lineRule="exact"/>
        <w:rPr>
          <w:rFonts w:ascii="Times New Roman" w:cs="Times New Roman" w:eastAsia="Times New Roman" w:hAnsi="Times New Roman"/>
          <w:sz w:val="18"/>
          <w:szCs w:val="18"/>
          <w:color w:val="auto"/>
        </w:rPr>
      </w:pPr>
    </w:p>
    <w:p>
      <w:pPr>
        <w:jc w:val="both"/>
        <w:ind w:firstLine="980"/>
        <w:spacing w:after="0" w:line="266" w:lineRule="auto"/>
        <w:tabs>
          <w:tab w:leader="none" w:pos="12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Neither the Company nor any of its subsidiaries is a party to any contract, agreement or understanding with any person (other than this Agreement) that would give rise to a valid claim against the Company or the Agent for a brokerage commission, finder’s fee or other like payment in connection with offering of Shares pursuant to this Agreement;</w:t>
      </w:r>
    </w:p>
    <w:p>
      <w:pPr>
        <w:spacing w:after="0" w:line="175" w:lineRule="exact"/>
        <w:rPr>
          <w:rFonts w:ascii="Times New Roman" w:cs="Times New Roman" w:eastAsia="Times New Roman" w:hAnsi="Times New Roman"/>
          <w:sz w:val="18"/>
          <w:szCs w:val="18"/>
          <w:color w:val="auto"/>
        </w:rPr>
      </w:pPr>
    </w:p>
    <w:p>
      <w:pPr>
        <w:jc w:val="both"/>
        <w:ind w:firstLine="980"/>
        <w:spacing w:after="0" w:line="256" w:lineRule="auto"/>
        <w:tabs>
          <w:tab w:leader="none" w:pos="12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Deposit Agreement, ADSs, Shares and Underlying Common Share</w:t>
      </w:r>
      <w:r>
        <w:rPr>
          <w:rFonts w:ascii="Times New Roman" w:cs="Times New Roman" w:eastAsia="Times New Roman" w:hAnsi="Times New Roman"/>
          <w:sz w:val="18"/>
          <w:szCs w:val="18"/>
          <w:color w:val="auto"/>
        </w:rPr>
        <w:t>. The Company has all requisite corporate power and authority to issue the Shares and the Underlying Common Shares, execute, deliver and perform its obligations under this Agreement and to consummate the transactions contemplated by the Deposit Agreement. This Agreement and the Deposit Agreement have been duly and validly authorized, executed and delivered by the Company, and the transactions contemplated hereby and thereby have been duly and validly authorized by the Company. The issuance of the Shares has been or will be validly authorized pursuant to the resolutions passed at the combined general shareholders’ meeting of the Company dated June 23, 2022 which has been properly convened and the appropriate decisions of the Management Board, the Supervisory Board and of the Chief Executive Officer (</w:t>
      </w:r>
      <w:r>
        <w:rPr>
          <w:rFonts w:ascii="Times New Roman" w:cs="Times New Roman" w:eastAsia="Times New Roman" w:hAnsi="Times New Roman"/>
          <w:sz w:val="18"/>
          <w:szCs w:val="18"/>
          <w:i w:val="1"/>
          <w:iCs w:val="1"/>
          <w:color w:val="auto"/>
        </w:rPr>
        <w:t>Directeur Général</w:t>
      </w:r>
      <w:r>
        <w:rPr>
          <w:rFonts w:ascii="Times New Roman" w:cs="Times New Roman" w:eastAsia="Times New Roman" w:hAnsi="Times New Roman"/>
          <w:sz w:val="18"/>
          <w:szCs w:val="18"/>
          <w:color w:val="auto"/>
        </w:rPr>
        <w:t>) of the Company, and all ceilings applicable to these authorizations have been and will be respected. All notices, authorizations and approvals necessary to proceed with the valid issuance of the Underlying Common Shares and the deposit of the Underlying Common Shares with the Depositary in connection with the issuance of the Shares and those necessary for execution by the Company of its obligations hereunder have been duly obtained and will remain in force on the Settlement Date. The Company will exercise all reasonable care to ensure that all the investors belong to the category provided for by the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resolution of the combined general shareholders meeting of the Company held on June 23, 2022.</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jc w:val="both"/>
        <w:ind w:firstLine="980"/>
        <w:spacing w:after="0" w:line="252" w:lineRule="auto"/>
        <w:tabs>
          <w:tab w:leader="none" w:pos="12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 Violation or Breach</w:t>
      </w:r>
      <w:r>
        <w:rPr>
          <w:rFonts w:ascii="Times New Roman" w:cs="Times New Roman" w:eastAsia="Times New Roman" w:hAnsi="Times New Roman"/>
          <w:sz w:val="18"/>
          <w:szCs w:val="18"/>
          <w:color w:val="auto"/>
        </w:rPr>
        <w:t>. The issue and sale of the Underlying Common Shares and the Shares, the deposit of the Underlying Common Shares and the compliance by the Company with this Agreement and the Deposit Agreement and the consummation of the transactions contemplated in this Agreement, the Deposit Agreement and the Prospectus will not conflict with or result in a breach or violation of any of the terms or provisions of, or constitute a default under, (A)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except, in the case of this clause (A) for such defaults, breaches, or violations that would not, individually or in the aggregate, reasonably be expected to have a Material Adverse Change, (B) the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this clause (C), such violation that would not, individually or in the aggregate, reasonably be expected to have a Material Adverse Change; and no consent, approval, authorization, order, registration or qualification of or with any such court or governmental agency or body is required for the issuance and deposit of the Underlying Common Shares with the Depositary against issuance of the Shares and the issue and sale of the Shares or the consummation by the Company of the transactions contemplated by this Agreement or the Deposit Agreement, except such as have been obtained under the Act and the underwriting terms and arrangements and such consents, approvals, authorizations, registrations or qualifications as may be required under state securities or Blue Sky laws in connection with the sale of the Shares by the Agent in the manner contemplated herein; Neither the Company nor any of its subsidiaries is (i) in violation of its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Change;</w:t>
      </w:r>
    </w:p>
    <w:p>
      <w:pPr>
        <w:spacing w:after="0" w:line="189" w:lineRule="exact"/>
        <w:rPr>
          <w:rFonts w:ascii="Times New Roman" w:cs="Times New Roman" w:eastAsia="Times New Roman" w:hAnsi="Times New Roman"/>
          <w:sz w:val="18"/>
          <w:szCs w:val="18"/>
          <w:color w:val="auto"/>
        </w:rPr>
      </w:pPr>
    </w:p>
    <w:p>
      <w:pPr>
        <w:jc w:val="both"/>
        <w:ind w:firstLine="980"/>
        <w:spacing w:after="0" w:line="255" w:lineRule="auto"/>
        <w:tabs>
          <w:tab w:leader="none" w:pos="12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 of Share Capital</w:t>
      </w:r>
      <w:r>
        <w:rPr>
          <w:rFonts w:ascii="Times New Roman" w:cs="Times New Roman" w:eastAsia="Times New Roman" w:hAnsi="Times New Roman"/>
          <w:sz w:val="18"/>
          <w:szCs w:val="18"/>
          <w:color w:val="auto"/>
        </w:rPr>
        <w:t>. The statements set forth in the Registration Statement and Prospectus under the captions “Description of Share Capital” and “Description of American Depositary Shares”, insofar as they purport to constitute a summary of the terms of the Shares and ADSs, under the captions “Material French Tax Considerations” and “Plan of Distribution”, insofar as they purport to describe the provisions of the laws and documents referred to therein, are accurate, complete and fair in all material respects, and the statements set forth in the Registration Statement and the Prospectus under the caption “Material U.S. Federal Income Tax Considerations” insofar as such statements purport to summarize matters of U.S. federal income tax laws, fairly present, to the extent required by the Securities Act and the rules and regulations thereunder, in all material respects, such U.S. federal income tax laws;</w:t>
      </w:r>
    </w:p>
    <w:p>
      <w:pPr>
        <w:spacing w:after="0" w:line="188" w:lineRule="exact"/>
        <w:rPr>
          <w:rFonts w:ascii="Times New Roman" w:cs="Times New Roman" w:eastAsia="Times New Roman" w:hAnsi="Times New Roman"/>
          <w:sz w:val="18"/>
          <w:szCs w:val="18"/>
          <w:color w:val="auto"/>
        </w:rPr>
      </w:pPr>
    </w:p>
    <w:p>
      <w:pPr>
        <w:jc w:val="both"/>
        <w:ind w:firstLine="980"/>
        <w:spacing w:after="0" w:line="256" w:lineRule="auto"/>
        <w:tabs>
          <w:tab w:leader="none" w:pos="12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Proceedings</w:t>
      </w:r>
      <w:r>
        <w:rPr>
          <w:rFonts w:ascii="Times New Roman" w:cs="Times New Roman" w:eastAsia="Times New Roman" w:hAnsi="Times New Roman"/>
          <w:sz w:val="18"/>
          <w:szCs w:val="18"/>
          <w:color w:val="auto"/>
        </w:rPr>
        <w:t>. Other than as set forth in the Prospectus, there are no legal or governmental proceedings pending to which the Company or any of its subsidiaries or, to the Company’s knowledge, any officer or supervisory board member or management board member of the Company, is a party or of which any property of the Company or any of its subsidiaries or, to the Company’s knowledge, any officer or supervisory board member or management board member of the Company, is the subject which, if determined adversely to the Company or any of its subsidiaries (or such officer or supervisory board member or management board member), would individually or in the aggregate reasonably be expected to have a Material Adverse Change; and, to the Company’s knowledge, no such proceedings are threatened or contemplated by governmental authorities or others;</w:t>
      </w:r>
    </w:p>
    <w:p>
      <w:pPr>
        <w:spacing w:after="0" w:line="187" w:lineRule="exact"/>
        <w:rPr>
          <w:rFonts w:ascii="Times New Roman" w:cs="Times New Roman" w:eastAsia="Times New Roman" w:hAnsi="Times New Roman"/>
          <w:sz w:val="18"/>
          <w:szCs w:val="18"/>
          <w:color w:val="auto"/>
        </w:rPr>
      </w:pPr>
    </w:p>
    <w:p>
      <w:pPr>
        <w:jc w:val="both"/>
        <w:ind w:firstLine="980"/>
        <w:spacing w:after="0" w:line="266" w:lineRule="auto"/>
        <w:tabs>
          <w:tab w:leader="none" w:pos="13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after giving effect to the offering and sale of the Shares and the application of the proceeds thereof as described in the Prospectus, will not be an “investment company”, as such term is defined in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jc w:val="both"/>
        <w:ind w:firstLine="980"/>
        <w:spacing w:after="0" w:line="268" w:lineRule="auto"/>
        <w:tabs>
          <w:tab w:leader="none" w:pos="127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Passive Foreign Investment Company.</w:t>
      </w:r>
      <w:r>
        <w:rPr>
          <w:rFonts w:ascii="Times New Roman" w:cs="Times New Roman" w:eastAsia="Times New Roman" w:hAnsi="Times New Roman"/>
          <w:sz w:val="18"/>
          <w:szCs w:val="18"/>
          <w:color w:val="auto"/>
        </w:rPr>
        <w:t xml:space="preserve"> The Company was not classified as a “passive foreign investment company” (“</w:t>
      </w:r>
      <w:r>
        <w:rPr>
          <w:rFonts w:ascii="Times New Roman" w:cs="Times New Roman" w:eastAsia="Times New Roman" w:hAnsi="Times New Roman"/>
          <w:sz w:val="18"/>
          <w:szCs w:val="18"/>
          <w:b w:val="1"/>
          <w:bCs w:val="1"/>
          <w:color w:val="auto"/>
        </w:rPr>
        <w:t>PFIC</w:t>
      </w:r>
      <w:r>
        <w:rPr>
          <w:rFonts w:ascii="Times New Roman" w:cs="Times New Roman" w:eastAsia="Times New Roman" w:hAnsi="Times New Roman"/>
          <w:sz w:val="18"/>
          <w:szCs w:val="18"/>
          <w:color w:val="auto"/>
        </w:rPr>
        <w:t>”) as defined in Section 1297 of the Internal Revenue Code of 1986, as amended, for its taxable year ended December 31, 2021, and it is not yet known whether the Company will be a PFIC for the taxable year that includes the offering and sale of the Shares;</w:t>
      </w:r>
    </w:p>
    <w:p>
      <w:pPr>
        <w:spacing w:after="0" w:line="174" w:lineRule="exact"/>
        <w:rPr>
          <w:rFonts w:ascii="Times New Roman" w:cs="Times New Roman" w:eastAsia="Times New Roman" w:hAnsi="Times New Roman"/>
          <w:sz w:val="18"/>
          <w:szCs w:val="18"/>
          <w:color w:val="auto"/>
        </w:rPr>
      </w:pPr>
    </w:p>
    <w:p>
      <w:pPr>
        <w:jc w:val="both"/>
        <w:ind w:firstLine="980"/>
        <w:spacing w:after="0" w:line="253" w:lineRule="auto"/>
        <w:tabs>
          <w:tab w:leader="none" w:pos="13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historical consolidated financial statements and schedules of the Company and its consolidated subsidiaries included or incorporated by reference in the Registration Statement and the Prospectus present fairly in all material respects the financial condition, results of operations, changes in shareholder’s equity and cash flows of the Company as of the dates and for the periods indicated comply as to form in all material respects with the applicable accounting requirements of the Securities Act and French laws and regulations and have been prepared in conformity with generally accepted accounting principles applied on a consistent basis throughout the period involved. Such audited consolidated financial statements as of and for the years ended December 31, 2020 and 2021 and for the three years ended December 31, 2021 are in accordance with IFRS as issued by the IASB, in the Registration Statement and the Prospectus. Such unaudited interim condensed consolidated financial statements as of June 30, 2022 and 2021 have been prepared in accordance with IAS 34. The financial data set forth, or incorporated by reference in, the Prospectus and Registration Statement fairly present, in all material respects, on the basis stated in the Prospectus and the Registration Statement, the information included therein.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91" w:lineRule="exact"/>
        <w:rPr>
          <w:rFonts w:ascii="Times New Roman" w:cs="Times New Roman" w:eastAsia="Times New Roman" w:hAnsi="Times New Roman"/>
          <w:sz w:val="18"/>
          <w:szCs w:val="18"/>
          <w:color w:val="auto"/>
        </w:rPr>
      </w:pPr>
    </w:p>
    <w:p>
      <w:pPr>
        <w:jc w:val="both"/>
        <w:ind w:firstLine="980"/>
        <w:spacing w:after="0" w:line="261" w:lineRule="auto"/>
        <w:tabs>
          <w:tab w:leader="none" w:pos="127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Deloitte &amp; Associés and PricewaterhouseCoopers Audit, who have certified certain financial statements of the Company and its subsidiaries, included directly or incorporated by reference in the Registration Statement and Prospectus, are independent registered public accounting firms as required by the Act and the rules and regulations of the Commission thereunder, by the AMF General Regulations, under the professional rules of the “</w:t>
      </w:r>
      <w:r>
        <w:rPr>
          <w:rFonts w:ascii="Times New Roman" w:cs="Times New Roman" w:eastAsia="Times New Roman" w:hAnsi="Times New Roman"/>
          <w:sz w:val="18"/>
          <w:szCs w:val="18"/>
          <w:i w:val="1"/>
          <w:iCs w:val="1"/>
          <w:color w:val="auto"/>
        </w:rPr>
        <w:t>Compagnie Nationale des Commissaires aux Comptes</w:t>
      </w:r>
      <w:r>
        <w:rPr>
          <w:rFonts w:ascii="Times New Roman" w:cs="Times New Roman" w:eastAsia="Times New Roman" w:hAnsi="Times New Roman"/>
          <w:sz w:val="18"/>
          <w:szCs w:val="18"/>
          <w:color w:val="auto"/>
        </w:rPr>
        <w:t>” and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980"/>
        <w:spacing w:after="0" w:line="253" w:lineRule="auto"/>
        <w:tabs>
          <w:tab w:leader="none" w:pos="127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Controls</w:t>
      </w:r>
      <w:r>
        <w:rPr>
          <w:rFonts w:ascii="Times New Roman" w:cs="Times New Roman" w:eastAsia="Times New Roman" w:hAnsi="Times New Roman"/>
          <w:sz w:val="18"/>
          <w:szCs w:val="18"/>
          <w:color w:val="auto"/>
        </w:rPr>
        <w:t>. The Company maintains a system of internal control over financial reporting (as such term is defined in Rule 13a-15(f)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(i) complies with the requirements of the Exchange Act,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IFRS and (iii) is sufficient to provide reasonable assurance that (A) transactions are executed in accordance with management’s general or specific authorization, (B) transactions are recorded as necessary to permit preparation of financial statements in conformity with IFRS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except as disclosed in the Registration Statement and Prospectus, the Company’s internal control over financial reporting is effective and the Company is not aware of any material weaknesses in its internal control over financial reporting (it being understood that this subsection shall not require the Company to comply with Section 404 of the Sarbanes Oxley Act of 2002 as of an earlier date than it would otherwise be required to so comply under applicable law); Since the date of the latest audited financial statements included in each of the Registration Statement and the Prospectus, there has been no change in the Company’s internal control over financial reporting that has materially affected, or is reasonably likely to materially affect, the Company’s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jc w:val="both"/>
        <w:ind w:firstLine="980"/>
        <w:spacing w:after="0" w:line="261" w:lineRule="auto"/>
        <w:tabs>
          <w:tab w:leader="none" w:pos="134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xml:space="preserve"> The Company maintains disclosure controls and procedures (as such term is defined in Rule 13a-15(e) under the Exchange Act) that comply with the applicable requirements of the Exchange Act; such disclosure controls and procedures have been designed to provide reasonable assurance that material information relating to the Company and its subsidiaries is made known to the Company’s principal executive officer and principal financial officer by others within those entities; and such disclosure controls and procedures are effective in all material respects;</w:t>
      </w:r>
    </w:p>
    <w:p>
      <w:pPr>
        <w:spacing w:after="0" w:line="180" w:lineRule="exact"/>
        <w:rPr>
          <w:sz w:val="20"/>
          <w:szCs w:val="20"/>
          <w:color w:val="auto"/>
        </w:rPr>
      </w:pPr>
    </w:p>
    <w:p>
      <w:pPr>
        <w:ind w:left="1760" w:hanging="780"/>
        <w:spacing w:after="0"/>
        <w:tabs>
          <w:tab w:leader="none" w:pos="1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This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jc w:val="both"/>
        <w:ind w:firstLine="980"/>
        <w:spacing w:after="0" w:line="256" w:lineRule="auto"/>
        <w:tabs>
          <w:tab w:leader="none" w:pos="18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Unlawful Payments</w:t>
      </w:r>
      <w:r>
        <w:rPr>
          <w:rFonts w:ascii="Times New Roman" w:cs="Times New Roman" w:eastAsia="Times New Roman" w:hAnsi="Times New Roman"/>
          <w:sz w:val="18"/>
          <w:szCs w:val="18"/>
          <w:color w:val="auto"/>
        </w:rPr>
        <w:t xml:space="preserve">. None of the Company or any of its subsidiaries nor, to the knowledge of the Company, any supervisory board member or management board member, officer, agent, employee, affiliate or other person associated with or acting on behalf of the Company or any of its subsidiaries has (i) made, offered, promised or authorized any unlawful contribution, gift, entertainment or other unlawful expense (or taken any act in furtherance thereof); (ii) made, offered, promised or authorized any direct or indirect unlawful payment; or (iii) violated or is in violation of any provision of the Foreign Corrupt Practices Act of 1977, the Bribery Act 2010 of the United Kingdom, Articles 432-11 et seq., 433-1 and 433-2, 433-22 to 433-25, 435-1 et seq. and 445-1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of the French Criminal Code or any other applicable anti-bribery or anti-corruption law;</w:t>
      </w:r>
    </w:p>
    <w:p>
      <w:pPr>
        <w:spacing w:after="0" w:line="187" w:lineRule="exact"/>
        <w:rPr>
          <w:rFonts w:ascii="Times New Roman" w:cs="Times New Roman" w:eastAsia="Times New Roman" w:hAnsi="Times New Roman"/>
          <w:sz w:val="18"/>
          <w:szCs w:val="18"/>
          <w:color w:val="auto"/>
        </w:rPr>
      </w:pPr>
    </w:p>
    <w:p>
      <w:pPr>
        <w:jc w:val="both"/>
        <w:ind w:firstLine="980"/>
        <w:spacing w:after="0" w:line="254" w:lineRule="auto"/>
        <w:tabs>
          <w:tab w:leader="none" w:pos="184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Anti-Laundering Laws</w:t>
      </w:r>
      <w:r>
        <w:rPr>
          <w:rFonts w:ascii="Times New Roman" w:cs="Times New Roman" w:eastAsia="Times New Roman" w:hAnsi="Times New Roman"/>
          <w:sz w:val="18"/>
          <w:szCs w:val="18"/>
          <w:color w:val="auto"/>
        </w:rPr>
        <w:t xml:space="preserve">. 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applicable anti-money laundering laws of the various jurisdictions in which the Company and its subsidiaries conduct business including but not limited to, the </w:t>
      </w:r>
      <w:r>
        <w:rPr>
          <w:rFonts w:ascii="Times New Roman" w:cs="Times New Roman" w:eastAsia="Times New Roman" w:hAnsi="Times New Roman"/>
          <w:sz w:val="18"/>
          <w:szCs w:val="18"/>
          <w:i w:val="1"/>
          <w:iCs w:val="1"/>
          <w:color w:val="auto"/>
        </w:rPr>
        <w:t>Cellule française de lutte contre 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blanchiment de capitaux et le financement du terrorisme </w:t>
      </w:r>
      <w:r>
        <w:rPr>
          <w:rFonts w:ascii="Times New Roman" w:cs="Times New Roman" w:eastAsia="Times New Roman" w:hAnsi="Times New Roman"/>
          <w:sz w:val="18"/>
          <w:szCs w:val="18"/>
          <w:color w:val="auto"/>
        </w:rPr>
        <w:t>(TRACFIN) and the</w:t>
      </w:r>
      <w:r>
        <w:rPr>
          <w:rFonts w:ascii="Times New Roman" w:cs="Times New Roman" w:eastAsia="Times New Roman" w:hAnsi="Times New Roman"/>
          <w:sz w:val="18"/>
          <w:szCs w:val="18"/>
          <w:i w:val="1"/>
          <w:iCs w:val="1"/>
          <w:color w:val="auto"/>
        </w:rPr>
        <w:t xml:space="preserve"> Office central pour la répression de la grande délinquance financière </w:t>
      </w:r>
      <w:r>
        <w:rPr>
          <w:rFonts w:ascii="Times New Roman" w:cs="Times New Roman" w:eastAsia="Times New Roman" w:hAnsi="Times New Roman"/>
          <w:sz w:val="18"/>
          <w:szCs w:val="18"/>
          <w:color w:val="auto"/>
        </w:rPr>
        <w:t>(OCRGDF)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91" w:lineRule="exact"/>
        <w:rPr>
          <w:rFonts w:ascii="Times New Roman" w:cs="Times New Roman" w:eastAsia="Times New Roman" w:hAnsi="Times New Roman"/>
          <w:sz w:val="18"/>
          <w:szCs w:val="18"/>
          <w:color w:val="auto"/>
        </w:rPr>
      </w:pPr>
    </w:p>
    <w:p>
      <w:pPr>
        <w:jc w:val="both"/>
        <w:ind w:firstLine="980"/>
        <w:spacing w:after="0" w:line="253" w:lineRule="auto"/>
        <w:tabs>
          <w:tab w:leader="none" w:pos="18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 with Sanctions Laws</w:t>
      </w:r>
      <w:r>
        <w:rPr>
          <w:rFonts w:ascii="Times New Roman" w:cs="Times New Roman" w:eastAsia="Times New Roman" w:hAnsi="Times New Roman"/>
          <w:sz w:val="18"/>
          <w:szCs w:val="18"/>
          <w:color w:val="auto"/>
        </w:rPr>
        <w:t>. None of the Company or any of its subsidiaries nor, to the knowledge of the Company, any supervisory board member or management board member, officer, agent, employee or affiliate of the Company or any of its subsidiaries is currently the subject or the target of any sanctions administered or enforced by the U.S. Government, including, without limitation, the Office of Foreign Assets Control of the U.S.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the U.S. Department of State and including, without limitation, the designation as a “specially designated national” or “blocked person,” the European Union, a Member State of the European Union, Her Majesty’s Treasury, the French Treasury, the United Nations Security Council,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target of comprehensive Sanctions (“</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is the subject or the target of Sanctions or with a Sanctioned Country, except where such activities or business are authorized by OFAC or other relevant sanctions authority or (ii) in any other manner that will result in a violation by any person (including any person participating in the transaction, whether as underwriter, advisor, investor or otherwise) of Sanctions;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jc w:val="both"/>
        <w:ind w:firstLine="980"/>
        <w:spacing w:after="0" w:line="254" w:lineRule="auto"/>
        <w:tabs>
          <w:tab w:leader="none" w:pos="177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included in the Registration Statement and the Prospectus, together with the related schedules and notes, present fairly in all material respects the financial position of the Company and its consolidated subsidiaries at the dates indicated and the statement of operations, shareholders’ equity and cash flows of the Company and its consolidated subsidiaries for the periods specified; said financial statements have been prepared in conformity with International Financing Reporting Standard (“</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as issued by the International Accounting Standards Board applied on a consistent basis throughout the periods involved. The supporting schedules, if any, present fairly in all material respects in accordance with IFRS the information required to be stated therein. The selected financial data included in, or incorporated by reference in, the Registration Statement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or the Prospectus under the Act or the rules and regulations promulgated thereunder;</w:t>
      </w:r>
    </w:p>
    <w:p>
      <w:pPr>
        <w:spacing w:after="0" w:line="188" w:lineRule="exact"/>
        <w:rPr>
          <w:rFonts w:ascii="Times New Roman" w:cs="Times New Roman" w:eastAsia="Times New Roman" w:hAnsi="Times New Roman"/>
          <w:sz w:val="18"/>
          <w:szCs w:val="18"/>
          <w:color w:val="auto"/>
        </w:rPr>
      </w:pPr>
    </w:p>
    <w:p>
      <w:pPr>
        <w:ind w:firstLine="980"/>
        <w:spacing w:after="0" w:line="282" w:lineRule="auto"/>
        <w:tabs>
          <w:tab w:leader="none" w:pos="19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 From the time of filing the Registration Statement with the Commission through the date of this Agreement, the Company has been and is an “emerging growth company” as defined in Section 2(a)(19) of the Act (an “</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980"/>
        <w:spacing w:after="0" w:line="266" w:lineRule="auto"/>
        <w:tabs>
          <w:tab w:leader="none" w:pos="19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Registration Rights</w:t>
      </w:r>
      <w:r>
        <w:rPr>
          <w:rFonts w:ascii="Times New Roman" w:cs="Times New Roman" w:eastAsia="Times New Roman" w:hAnsi="Times New Roman"/>
          <w:sz w:val="18"/>
          <w:szCs w:val="18"/>
          <w:color w:val="auto"/>
        </w:rPr>
        <w:t>. There are no persons with registration rights or other similar rights to have any securities registered pursuant to the Registration Statement or otherwise registered by the Company under the Act except as have been validly waived or complied with in connection with the offering of the Shares;</w:t>
      </w:r>
    </w:p>
    <w:p>
      <w:pPr>
        <w:spacing w:after="0" w:line="175" w:lineRule="exact"/>
        <w:rPr>
          <w:rFonts w:ascii="Times New Roman" w:cs="Times New Roman" w:eastAsia="Times New Roman" w:hAnsi="Times New Roman"/>
          <w:sz w:val="18"/>
          <w:szCs w:val="18"/>
          <w:color w:val="auto"/>
        </w:rPr>
      </w:pPr>
    </w:p>
    <w:p>
      <w:pPr>
        <w:jc w:val="both"/>
        <w:ind w:firstLine="980"/>
        <w:spacing w:after="0" w:line="254" w:lineRule="auto"/>
        <w:tabs>
          <w:tab w:leader="none" w:pos="172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Disputes.</w:t>
      </w:r>
      <w:r>
        <w:rPr>
          <w:rFonts w:ascii="Times New Roman" w:cs="Times New Roman" w:eastAsia="Times New Roman" w:hAnsi="Times New Roman"/>
          <w:sz w:val="18"/>
          <w:szCs w:val="18"/>
          <w:color w:val="auto"/>
        </w:rPr>
        <w:t xml:space="preserve"> No labor disturbance by or material dispute with current or former employees or officers of the Company or any of its subsidiaries exists or, to the Company’s knowledge, is contemplated or threatened, and the Company is not aware of any existing or imminent labor disturbance by, or dispute with, the employees of any of the Company’s or any of its subsidiaries’ principal suppliers, manufacturers or contractors. Further, the Company and its subsidiaries have not been subject to any adjustments or observations that would still be in progress by the labor inspectorate (</w:t>
      </w:r>
      <w:r>
        <w:rPr>
          <w:rFonts w:ascii="Times New Roman" w:cs="Times New Roman" w:eastAsia="Times New Roman" w:hAnsi="Times New Roman"/>
          <w:sz w:val="18"/>
          <w:szCs w:val="18"/>
          <w:i w:val="1"/>
          <w:iCs w:val="1"/>
          <w:color w:val="auto"/>
        </w:rPr>
        <w:t>Inspection du travail</w:t>
      </w:r>
      <w:r>
        <w:rPr>
          <w:rFonts w:ascii="Times New Roman" w:cs="Times New Roman" w:eastAsia="Times New Roman" w:hAnsi="Times New Roman"/>
          <w:sz w:val="18"/>
          <w:szCs w:val="18"/>
          <w:color w:val="auto"/>
        </w:rPr>
        <w:t>) or the French Social Security authorities (URSSAF). The Company and its subsidiaries comply with all the provisions applicable to each of them in their relations with their employees and their representatives, whether it be the law, the applicable collective bargaining agreement applicable in the sector, employment contracts, as well as customary practices, unilateral commitments, plan, and including, but not limited to, the provisions of Directive 2001/86 on employees’ involvement in the Company and their transposition into French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both"/>
        <w:ind w:firstLine="980"/>
        <w:spacing w:after="0" w:line="255" w:lineRule="auto"/>
        <w:tabs>
          <w:tab w:leader="none" w:pos="20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its subsidiaries have insurance covering their respective properties, operations, personnel and businesses, including business interruption insurance, which insurance is in amounts and insures against such losses and risks as the Company believes are reasonable and as the Company reasonably believes is necessary for its business as conducted and as proposed to be conducted or required by applicable rules, laws and regulations;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188" w:lineRule="exact"/>
        <w:rPr>
          <w:rFonts w:ascii="Times New Roman" w:cs="Times New Roman" w:eastAsia="Times New Roman" w:hAnsi="Times New Roman"/>
          <w:sz w:val="18"/>
          <w:szCs w:val="18"/>
          <w:color w:val="auto"/>
        </w:rPr>
      </w:pPr>
    </w:p>
    <w:p>
      <w:pPr>
        <w:jc w:val="both"/>
        <w:ind w:firstLine="980"/>
        <w:spacing w:after="0" w:line="251" w:lineRule="auto"/>
        <w:tabs>
          <w:tab w:leader="none" w:pos="179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Health Care Laws</w:t>
      </w:r>
      <w:r>
        <w:rPr>
          <w:rFonts w:ascii="Times New Roman" w:cs="Times New Roman" w:eastAsia="Times New Roman" w:hAnsi="Times New Roman"/>
          <w:sz w:val="18"/>
          <w:szCs w:val="18"/>
          <w:color w:val="auto"/>
        </w:rPr>
        <w:t>. The Company and its subsidiaries and its and their respective supervisory board members or management board members, officers and employees, and to the Company’s knowledge, its and their respective agents, affiliates and representatives, are, and since January 1, 2019, have been, in material compliance with all applicable Health Care Laws (defined herein), including, but not limited to, the rules and regulations of the Food and Drug Administration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the U.S. Department of Health and Human Services Office of Inspector General, the Centers for Medicare &amp; Medicaid Services, the Office for Civil Rights, the Department of Justice and any other governmental agency or body having jurisdiction over the Company or any of its properties, and has not engaged in any activities which are, as applicable, cause for false claims liability, civil penalties, or mandatory or permissive exclusion from Medicare, Medicaid, or any other local, state, federal or foreign equivalent healthcare program. For purposes of this Agreement, “Health Care Laws” shall mean the federal Anti-kickback Statute (42 U.S.C. § 1320a-7b(b)), the Physician Payments Sunshine Act (42 U.S.C. § 1320a-7h), the civil False Claims Act (31 U.S.C. §§ 3729 et seq.), the criminal False Claims Act (42 U.S.C. § 1320a-7b(a)), all criminal laws relating to health care fraud and abuse, including but not limited to 18 U.S.C. Sections 286 and 287, and the health care fraud criminal provisions under the Health Insurance Portability and Accountability Act of 1996 (42 U.S.C. §§ 1320d et seq.) (“HIPAA”), the exclusions law (42 U.S.C. § 1320a-7), the civil monetary penalties law (42 U.S.C. § 1320a-7a), the Stark Law (42 U.S.C. § 1395nn), HIPAA, as amended by the Health Information Technology for Economic and Clinical Health Act (42 U.S.C. §§ 17921 et seq.), the Federal Food, Drug, and Cosmetic Act (21 U.S.C. §§ 301 et seq.), Medicare (Title XVIII of the Social Security Act), Medicaid (Title XIX of the Social Security Act), the Public Health Service Act (42 U.S.C. §§ 201 et seq.), and equivalent foreign rules and regulations. Since January 1, 2019, the Company and its subsidiaries have filed,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or has any ongoing reporting obligations pursuant to any corporate integrity agreement, deferred prosecution agreement, monitoring agreement, consent decree, settlement order, plan of correction or similar agreement imposed by any governmental authority. Neither the Company nor any of its subsidiaries has received any notification, correspondence or any other written communication, including, without limitation, any FDA Form 483, notice of adverse finding, warning letter, untitled letter or other correspondence or notice from the FDA or any similar regulatory authority, or any notification of any pending or threatened claim, suit, proceeding, hearing, enforcement, investigation, arbitration or other action, from any arbitrator or regulatory or governmental authority or third party alleging actual non-compliance by, or liability of, the Company or its subsidiaries under any Health Care Laws;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jc w:val="both"/>
        <w:ind w:firstLine="980"/>
        <w:spacing w:after="0" w:line="253" w:lineRule="auto"/>
        <w:tabs>
          <w:tab w:leader="none" w:pos="18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Licenses and Permits</w:t>
      </w:r>
      <w:r>
        <w:rPr>
          <w:rFonts w:ascii="Times New Roman" w:cs="Times New Roman" w:eastAsia="Times New Roman" w:hAnsi="Times New Roman"/>
          <w:sz w:val="18"/>
          <w:szCs w:val="18"/>
          <w:color w:val="auto"/>
        </w:rPr>
        <w:t>. Each of the Company and its subsidiaries has possessed and currently possesses, and is in material compliance with the terms of, all applications, certificates, approvals, clearances, registrations, exemptions, franchises, licenses, permits, consents and other authorizations necessary to conduct their respective businesses (collectively, “</w:t>
      </w:r>
      <w:r>
        <w:rPr>
          <w:rFonts w:ascii="Times New Roman" w:cs="Times New Roman" w:eastAsia="Times New Roman" w:hAnsi="Times New Roman"/>
          <w:sz w:val="18"/>
          <w:szCs w:val="18"/>
          <w:b w:val="1"/>
          <w:bCs w:val="1"/>
          <w:color w:val="auto"/>
        </w:rPr>
        <w:t>Licenses</w:t>
      </w:r>
      <w:r>
        <w:rPr>
          <w:rFonts w:ascii="Times New Roman" w:cs="Times New Roman" w:eastAsia="Times New Roman" w:hAnsi="Times New Roman"/>
          <w:sz w:val="18"/>
          <w:szCs w:val="18"/>
          <w:color w:val="auto"/>
        </w:rPr>
        <w:t>”), issued by governmental authorities, including, without limitation, all Licenses required by the FDA, or any component thereof, the National Institutes of Health (“</w:t>
      </w:r>
      <w:r>
        <w:rPr>
          <w:rFonts w:ascii="Times New Roman" w:cs="Times New Roman" w:eastAsia="Times New Roman" w:hAnsi="Times New Roman"/>
          <w:sz w:val="18"/>
          <w:szCs w:val="18"/>
          <w:b w:val="1"/>
          <w:bCs w:val="1"/>
          <w:color w:val="auto"/>
        </w:rPr>
        <w:t>NIH</w:t>
      </w:r>
      <w:r>
        <w:rPr>
          <w:rFonts w:ascii="Times New Roman" w:cs="Times New Roman" w:eastAsia="Times New Roman" w:hAnsi="Times New Roman"/>
          <w:sz w:val="18"/>
          <w:szCs w:val="18"/>
          <w:color w:val="auto"/>
        </w:rPr>
        <w:t>”) and/or by any other U.S., state, local or foreign government or drug regulatory agency (collectively, the “</w:t>
      </w:r>
      <w:r>
        <w:rPr>
          <w:rFonts w:ascii="Times New Roman" w:cs="Times New Roman" w:eastAsia="Times New Roman" w:hAnsi="Times New Roman"/>
          <w:sz w:val="18"/>
          <w:szCs w:val="18"/>
          <w:b w:val="1"/>
          <w:bCs w:val="1"/>
          <w:color w:val="auto"/>
        </w:rPr>
        <w:t>Regulatory Agencies</w:t>
      </w:r>
      <w:r>
        <w:rPr>
          <w:rFonts w:ascii="Times New Roman" w:cs="Times New Roman" w:eastAsia="Times New Roman" w:hAnsi="Times New Roman"/>
          <w:sz w:val="18"/>
          <w:szCs w:val="18"/>
          <w:color w:val="auto"/>
        </w:rPr>
        <w:t>”). All Licenses are in full force and effect and neither the Company nor any of its subsidiaries is in material violation of any term or conditions of any License. Each of the Company and its subsidiaries has fulfilled and performed all of its respective material obligations with respect to the Licenses and, to the Company’s knowledge, no event has occurred which allows, or after notice or lapse of time would allow, revocation, suspension, variation or termination thereof or results in any other impairment of the rights of the holder of any License. Neither the Company nor any of its subsidiaries has received any notice of proceedings relating to the revocation or modification of any Licenses and, to the Company’s knowledge, no Regulatory Agency has taken any action to limit, suspend or revoke any License possessed by the Company;</w:t>
      </w:r>
    </w:p>
    <w:p>
      <w:pPr>
        <w:spacing w:after="0" w:line="191" w:lineRule="exact"/>
        <w:rPr>
          <w:rFonts w:ascii="Times New Roman" w:cs="Times New Roman" w:eastAsia="Times New Roman" w:hAnsi="Times New Roman"/>
          <w:sz w:val="18"/>
          <w:szCs w:val="18"/>
          <w:color w:val="auto"/>
        </w:rPr>
      </w:pPr>
    </w:p>
    <w:p>
      <w:pPr>
        <w:jc w:val="both"/>
        <w:ind w:firstLine="980"/>
        <w:spacing w:after="0" w:line="253" w:lineRule="auto"/>
        <w:tabs>
          <w:tab w:leader="none" w:pos="17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Pre-clinical Studies and Clinical Trials</w:t>
      </w:r>
      <w:r>
        <w:rPr>
          <w:rFonts w:ascii="Times New Roman" w:cs="Times New Roman" w:eastAsia="Times New Roman" w:hAnsi="Times New Roman"/>
          <w:sz w:val="18"/>
          <w:szCs w:val="18"/>
          <w:color w:val="auto"/>
        </w:rPr>
        <w:t>. The pre-clinical studies and clinical trials conducted by or on behalf of the Company or its subsidiaries that are described in the Prospectus were and, if still pending, are being, conducted in all material respects in accordance with the protocols submitted to the FDA or any foreign governmental body exercising comparable authority, procedures and controls pursuant to, where applicable, accepted professional and scientific standards, and all applicable laws and regulations; the descriptions of the pre-clinical studies and clinical trials conducted by or, to the Company’s knowledge, on behalf of the Company or its subsidiaries, and the results thereof, contained in the Prospectus are accurate and complete in all material respects and fairly present the data derived from such pre-clinical studies and clinical trials, if any; the Company is not aware of any other pre-clinical studies or clinical trials, the results of which reasonably call into question the results described in the Prospectus; and neither the Company nor any of its subsidiaries have received any notices or correspondence from the FDA, any foreign, state or local governmental body exercising comparable authority or any Institutional Review Board or Ethics Committee requiring the termination, suspension, material modification or clinical hold of any pre-clinical studies or clinical trials conducted by or on behalf of the Company or its subsidiaries;</w:t>
      </w:r>
    </w:p>
    <w:p>
      <w:pPr>
        <w:spacing w:after="0" w:line="194" w:lineRule="exact"/>
        <w:rPr>
          <w:rFonts w:ascii="Times New Roman" w:cs="Times New Roman" w:eastAsia="Times New Roman" w:hAnsi="Times New Roman"/>
          <w:sz w:val="18"/>
          <w:szCs w:val="18"/>
          <w:color w:val="auto"/>
        </w:rPr>
      </w:pPr>
    </w:p>
    <w:p>
      <w:pPr>
        <w:jc w:val="both"/>
        <w:ind w:firstLine="980"/>
        <w:spacing w:after="0" w:line="256" w:lineRule="auto"/>
        <w:tabs>
          <w:tab w:leader="none" w:pos="186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Disbarment</w:t>
      </w:r>
      <w:r>
        <w:rPr>
          <w:rFonts w:ascii="Times New Roman" w:cs="Times New Roman" w:eastAsia="Times New Roman" w:hAnsi="Times New Roman"/>
          <w:sz w:val="18"/>
          <w:szCs w:val="18"/>
          <w:color w:val="auto"/>
        </w:rPr>
        <w:t>. Neither the Company nor its subsidiaries, nor any of its or their respective officers, employees or supervisory board members or management board members, nor to the knowledge of the Company any of its or their respective agents or clinical investigators, has been excluded, suspended, disqualified or debarred from participation in any U.S. federal health care program or human clinical research or comparable foreign health care programs or is subject to a governmental inquiry, investigation, proceeding, or other similar action that would reasonably be expected to result in debarment, disqualification, suspension, or exclusion, or convicted of any crime or engaged in any conduct that would reasonably be expected to result in debarment under 21 U.S.C. § 335a or comparable foreign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jc w:val="both"/>
        <w:ind w:firstLine="980"/>
        <w:spacing w:after="0" w:line="251" w:lineRule="auto"/>
        <w:tabs>
          <w:tab w:leader="none" w:pos="172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Intellectual Property</w:t>
      </w:r>
      <w:r>
        <w:rPr>
          <w:rFonts w:ascii="Times New Roman" w:cs="Times New Roman" w:eastAsia="Times New Roman" w:hAnsi="Times New Roman"/>
          <w:sz w:val="18"/>
          <w:szCs w:val="18"/>
          <w:color w:val="auto"/>
        </w:rPr>
        <w:t>. Except in each case (a) as would not, individually or in the aggregate, reasonably be expected to have a Material Adverse Change, and (b) as otherwise disclosed in the Prospectus, the Company owns or has valid, binding and enforceable licenses or other rights to practice and use all patents and patent applications, copyrights, trademarks, trademark registrations, service marks, service mark registrations, trade names, service names and know-how (including trade secrets and other unpatented and/or unpatentable proprietary or confidential information, systems or procedures) and all other technology and intellectual property rights necessary for, or used in the conduct, or the proposed conduct, of the business of the Company in the manner described in the Prospectus (collectively, the “</w:t>
      </w:r>
      <w:r>
        <w:rPr>
          <w:rFonts w:ascii="Times New Roman" w:cs="Times New Roman" w:eastAsia="Times New Roman" w:hAnsi="Times New Roman"/>
          <w:sz w:val="18"/>
          <w:szCs w:val="18"/>
          <w:b w:val="1"/>
          <w:bCs w:val="1"/>
          <w:color w:val="auto"/>
        </w:rPr>
        <w:t>Company Intellectual Property</w:t>
      </w:r>
      <w:r>
        <w:rPr>
          <w:rFonts w:ascii="Times New Roman" w:cs="Times New Roman" w:eastAsia="Times New Roman" w:hAnsi="Times New Roman"/>
          <w:sz w:val="18"/>
          <w:szCs w:val="18"/>
          <w:color w:val="auto"/>
        </w:rPr>
        <w:t>”), and, to the Company’s knowledge, the conduct of its and its subsidiaries’ respective business (including the development and commercialization of the product candidates described in the Prospectus) has not and will not infringe or misappropriate any intellectual property rights of others; other than as disclosed in the Prospectus, to the knowledge of the Company there are no rights of third parties to any of the intellectual property owned by the Company, and such intellectual property is owned by the Company free and clear of all material liens, security interests, or encumbrances; other than as disclosed in the Prospectus, to the knowledge of the Company, the patents, trademarks and copyrights held or licensed by the Company included within the Company Intellectual Property are valid, enforceable and subsisting; to the Company’s knowledge, there is no infringement by third parties of any of the Company Intellectual Property; other than as disclosed in the Prospectus, (i) neither the Company nor its subsidiaries, to the knowledge of the Company, is obligated to pay a material royalty, grant a license, or provide other material consideration to any third party in connection with the Company Intellectual Property,</w:t>
      </w:r>
    </w:p>
    <w:p>
      <w:pPr>
        <w:spacing w:after="0" w:line="11" w:lineRule="exact"/>
        <w:rPr>
          <w:rFonts w:ascii="Times New Roman" w:cs="Times New Roman" w:eastAsia="Times New Roman" w:hAnsi="Times New Roman"/>
          <w:sz w:val="18"/>
          <w:szCs w:val="18"/>
          <w:color w:val="auto"/>
        </w:rPr>
      </w:pPr>
    </w:p>
    <w:p>
      <w:pPr>
        <w:jc w:val="both"/>
        <w:ind w:firstLine="8"/>
        <w:spacing w:after="0" w:line="250" w:lineRule="auto"/>
        <w:tabs>
          <w:tab w:leader="none" w:pos="2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suit, claim or other proceeding is pending or, to the knowledge of the Company, is threatened, alleging that the Company or its subsidiaries is infringing, misappropriating, diluting or otherwise violating any rights of others with respect to any of the Company’s product candidates, processes or intellectual property, and the Company is unaware of any facts which, in the Company’s view, could form a reasonable basis for any such action, suit, proceeding or claim, (iii) no action, suit, claim or other proceeding is pending or, to the knowledge of the Company, is threatened, challenging the validity, enforceability, scope, registration, ownership or use of any of the Company’s Intellectual Property, and the Company is unaware of any facts which, in the Company’s view, could form a reasonable basis for any such action, suit, proceeding or claim, (iv) no action, suit, claim or other proceeding is pending or, to the knowledge of the Company, is threatened, challenging the Company’s rights in or to any Company Intellectual Property, and the Company is unaware of any facts which, in the Company’s view, could form a reasonable basis for any such action, suit, proceeding or claim, (v) the Company has not received written notice of any claim of infringement, misappropriation or conflict with any asserted rights of others with respect to any of the Company’s products, proposed products, processes or Company Intellectual Property, (vi) to the knowledge of the Company, the development, manufacture, sale, and any currently proposed use of any of the products, proposed products or processes of the Company referred to in the Prospectus, in the current or proposed conduct of the business of the Company, do not currently, and will not upon commercialization infringe any right or valid patent claim of any third party,</w:t>
      </w:r>
    </w:p>
    <w:p>
      <w:pPr>
        <w:spacing w:after="0" w:line="4" w:lineRule="exact"/>
        <w:rPr>
          <w:rFonts w:ascii="Times New Roman" w:cs="Times New Roman" w:eastAsia="Times New Roman" w:hAnsi="Times New Roman"/>
          <w:sz w:val="18"/>
          <w:szCs w:val="18"/>
          <w:color w:val="auto"/>
        </w:rPr>
      </w:pPr>
    </w:p>
    <w:p>
      <w:pPr>
        <w:jc w:val="both"/>
        <w:ind w:firstLine="8"/>
        <w:spacing w:after="0" w:line="251" w:lineRule="auto"/>
        <w:tabs>
          <w:tab w:leader="none" w:pos="37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third party has any ownership right in or to any Company Intellectual Property in any field of use that is exclusively licensed to the Company, other than any licensor to the Company of such Company Intellectual Property, (viii) to the knowledge of the Company, no employee, consultant or independent contractor of the Company or any of its subsidiaries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or independent contractor where the basis of such violation relates to such employee’s employment or independent contractor’s engagement with the Company or actions undertaken while employed or engaged with the Company, (ix) the Company has taken reasonable measures to protect its confidential information and trade secrets and to maintain and safeguard the Company’s Intellectual Property, including the execution of appropriate nondisclosure and confidentiality agreements, and to the Company’s knowledge,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and (x) the Company has taken reasonable measures to comply with the terms of each agreement pursuant to which the Company’s Intellectual Property has been licensed to the Company, and, to the Company’s knowledge, all such agreements are in full force and effect;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jc w:val="both"/>
        <w:ind w:firstLine="980"/>
        <w:spacing w:after="0" w:line="255" w:lineRule="auto"/>
        <w:tabs>
          <w:tab w:leader="none" w:pos="189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Patent and Patent Applications</w:t>
      </w:r>
      <w:r>
        <w:rPr>
          <w:rFonts w:ascii="Times New Roman" w:cs="Times New Roman" w:eastAsia="Times New Roman" w:hAnsi="Times New Roman"/>
          <w:sz w:val="18"/>
          <w:szCs w:val="18"/>
          <w:color w:val="auto"/>
        </w:rPr>
        <w:t>. All patents and patent applications owned by or licensed to the Company or under which the Company has rights have, to the knowledge of the Company, been duly and properly filed and maintained; to the knowledge of the Company, there are no material defects in any of the patents or patent applications disclosed in the Prospectus as being owned by the Company and its Subsidiaries; to the knowledge of the Company, the parties prosecuting such applications have complied with their duty of candor and disclosure to the United States Patent and Trademark Office (the “</w:t>
      </w:r>
      <w:r>
        <w:rPr>
          <w:rFonts w:ascii="Times New Roman" w:cs="Times New Roman" w:eastAsia="Times New Roman" w:hAnsi="Times New Roman"/>
          <w:sz w:val="18"/>
          <w:szCs w:val="18"/>
          <w:b w:val="1"/>
          <w:bCs w:val="1"/>
          <w:color w:val="auto"/>
        </w:rPr>
        <w:t>USPTO</w:t>
      </w:r>
      <w:r>
        <w:rPr>
          <w:rFonts w:ascii="Times New Roman" w:cs="Times New Roman" w:eastAsia="Times New Roman" w:hAnsi="Times New Roman"/>
          <w:sz w:val="18"/>
          <w:szCs w:val="18"/>
          <w:color w:val="auto"/>
        </w:rPr>
        <w:t>”) in connection with such applications; and the Company is not aware of any facts required to be disclosed to the USPTO or any other patent offices that were not disclosed to these offices and which would preclude the grant of a patent in connection with any such application or could form the basis of a finding of invalidity with respect to any patents that have issued with respect to such applications;</w:t>
      </w:r>
    </w:p>
    <w:p>
      <w:pPr>
        <w:spacing w:after="0" w:line="188" w:lineRule="exact"/>
        <w:rPr>
          <w:rFonts w:ascii="Times New Roman" w:cs="Times New Roman" w:eastAsia="Times New Roman" w:hAnsi="Times New Roman"/>
          <w:sz w:val="18"/>
          <w:szCs w:val="18"/>
          <w:color w:val="auto"/>
        </w:rPr>
      </w:pPr>
    </w:p>
    <w:p>
      <w:pPr>
        <w:jc w:val="both"/>
        <w:ind w:firstLine="980"/>
        <w:spacing w:after="0" w:line="253" w:lineRule="auto"/>
        <w:tabs>
          <w:tab w:leader="none" w:pos="17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Security</w:t>
      </w:r>
      <w:r>
        <w:rPr>
          <w:rFonts w:ascii="Times New Roman" w:cs="Times New Roman" w:eastAsia="Times New Roman" w:hAnsi="Times New Roman"/>
          <w:sz w:val="18"/>
          <w:szCs w:val="18"/>
          <w:color w:val="auto"/>
        </w:rPr>
        <w:t>. (i) The Company and each of its subsidiaries have complied and are presently in compliance in all material respects with all internal and external privacy policies, contractual obligations, industry standards by which the Company is legally or contractually bound, applicable laws, statutes, judgments, orders, rules and regulations of any court or arbitrator or other governmental or regulatory authority and any other legal obligations, in each case, relating to the privacy and security of its IT Systems (as defined below) and the collection, processing, use, transfer, import, export, storage, protection, disposal and disclosure by the Company or any of its subsidiaries of personally identifiable, household, sensitive, confidential, regulated data, or personal data as defined in Regulation No.2016/679 of 27 April 2016 on the protection of natural persons with regard to the processing of personal data and on the free movement of such data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or the United Kingdom General Data Protection Regulation (“</w:t>
      </w:r>
      <w:r>
        <w:rPr>
          <w:rFonts w:ascii="Times New Roman" w:cs="Times New Roman" w:eastAsia="Times New Roman" w:hAnsi="Times New Roman"/>
          <w:sz w:val="18"/>
          <w:szCs w:val="18"/>
          <w:b w:val="1"/>
          <w:bCs w:val="1"/>
          <w:color w:val="auto"/>
        </w:rPr>
        <w:t>UK GDPR</w:t>
      </w:r>
      <w:r>
        <w:rPr>
          <w:rFonts w:ascii="Times New Roman" w:cs="Times New Roman" w:eastAsia="Times New Roman" w:hAnsi="Times New Roman"/>
          <w:sz w:val="18"/>
          <w:szCs w:val="18"/>
          <w:color w:val="auto"/>
        </w:rPr>
        <w:t>”), the United Kingdom Data Protection Act 2018 ("</w:t>
      </w:r>
      <w:r>
        <w:rPr>
          <w:rFonts w:ascii="Times New Roman" w:cs="Times New Roman" w:eastAsia="Times New Roman" w:hAnsi="Times New Roman"/>
          <w:sz w:val="18"/>
          <w:szCs w:val="18"/>
          <w:b w:val="1"/>
          <w:bCs w:val="1"/>
          <w:color w:val="auto"/>
        </w:rPr>
        <w:t>UK DPA 2018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Data Security Obligations</w:t>
      </w:r>
      <w:r>
        <w:rPr>
          <w:rFonts w:ascii="Times New Roman" w:cs="Times New Roman" w:eastAsia="Times New Roman" w:hAnsi="Times New Roman"/>
          <w:sz w:val="18"/>
          <w:szCs w:val="18"/>
          <w:color w:val="auto"/>
        </w:rPr>
        <w:t>”, and such data,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(ii) the Company has not received any notification of or complaint regarding an alleged non-compliance with any Data Security Obligation and is unaware of any other facts that, individually or in the aggregate, would reasonably indicate that the Company is in violation of any Data Security Obligation; and (iii) to the knowledge of the Company, there is no action, suit or proceeding by or before any court or governmental agency, authority or body pending or threatened alleging non-compliance with any Data Security Obligation;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jc w:val="both"/>
        <w:ind w:firstLine="980"/>
        <w:spacing w:after="0" w:line="254" w:lineRule="auto"/>
        <w:tabs>
          <w:tab w:leader="none" w:pos="17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 Company and each of its subsidiaries have implemented all appropriate technical and organizational measures to protect and ensure the privacy and security of the information technology systems and Data used in connection with the operation of the Company’s and its subsidiaries’ businesses. Without limiting the foregoing, the Company and its subsidiaries have used reasonable efforts to establish and maintain, and have implemented appropriate information technology, information security, cyber security and data protection controls, policies and procedures, including oversight, access controls, encryption, technological and physical safeguards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and its subsidiaries’ businesses (“</w:t>
      </w: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There has been no such material Breach, and the Company and its subsidiaries have not been notified of and have no knowledge of any event or condition that would reasonably be expected to result in, any such material Breach;</w:t>
      </w:r>
    </w:p>
    <w:p>
      <w:pPr>
        <w:spacing w:after="0" w:line="188" w:lineRule="exact"/>
        <w:rPr>
          <w:rFonts w:ascii="Times New Roman" w:cs="Times New Roman" w:eastAsia="Times New Roman" w:hAnsi="Times New Roman"/>
          <w:sz w:val="18"/>
          <w:szCs w:val="18"/>
          <w:color w:val="auto"/>
        </w:rPr>
      </w:pPr>
    </w:p>
    <w:p>
      <w:pPr>
        <w:jc w:val="both"/>
        <w:ind w:firstLine="980"/>
        <w:spacing w:after="0" w:line="266" w:lineRule="auto"/>
        <w:tabs>
          <w:tab w:leader="none" w:pos="17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Statistical and Market Information</w:t>
      </w:r>
      <w:r>
        <w:rPr>
          <w:rFonts w:ascii="Times New Roman" w:cs="Times New Roman" w:eastAsia="Times New Roman" w:hAnsi="Times New Roman"/>
          <w:sz w:val="18"/>
          <w:szCs w:val="18"/>
          <w:color w:val="auto"/>
        </w:rPr>
        <w:t>. Any statistical, industry-related and market-related data included in the Prospectus are based on or derived from sources that the Company believes, after reasonable inquiry, to be reliable and accurate and, to the extent required, the Company has obtained the written consent to the use of such data from such sources, if required;</w:t>
      </w:r>
    </w:p>
    <w:p>
      <w:pPr>
        <w:spacing w:after="0" w:line="175" w:lineRule="exact"/>
        <w:rPr>
          <w:rFonts w:ascii="Times New Roman" w:cs="Times New Roman" w:eastAsia="Times New Roman" w:hAnsi="Times New Roman"/>
          <w:sz w:val="18"/>
          <w:szCs w:val="18"/>
          <w:color w:val="auto"/>
        </w:rPr>
      </w:pPr>
    </w:p>
    <w:p>
      <w:pPr>
        <w:jc w:val="both"/>
        <w:ind w:firstLine="980"/>
        <w:spacing w:after="0" w:line="254" w:lineRule="auto"/>
        <w:tabs>
          <w:tab w:leader="none" w:pos="17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All tax returns of the Company and its subsidiaries required by law to be filed have been filed (except in any case in which the failure so to file would not, individually or in the aggregate, have a Material Adverse Change) and all taxes shown as due on such returns or that otherwise have been assessed, which are due and payable, have been paid, except assessments against which appeals have been or will be promptly taken and as to which adequate reserves have been provided. The Company and its Subsidiaries have filed all tax returns that are required to have been filed by them pursuant to applicable French, United States federal, state or local or other applicable law except insofar as the failure to file such returns would not, individually or in the aggregate, reasonably be expected to have a Material Adverse Change, and has paid all taxes due pursuant to such returns or pursuant to any assessment received by the Company and its Subsidiaries, except for such taxes, if any, as are being contested in good faith and as to which adequate reserves have been provided or which would not, individually or in the aggregate, reasonably be expected to have a Material Adverse Change;</w:t>
      </w:r>
    </w:p>
    <w:p>
      <w:pPr>
        <w:spacing w:after="0" w:line="191" w:lineRule="exact"/>
        <w:rPr>
          <w:rFonts w:ascii="Times New Roman" w:cs="Times New Roman" w:eastAsia="Times New Roman" w:hAnsi="Times New Roman"/>
          <w:sz w:val="18"/>
          <w:szCs w:val="18"/>
          <w:color w:val="auto"/>
        </w:rPr>
      </w:pPr>
    </w:p>
    <w:p>
      <w:pPr>
        <w:jc w:val="both"/>
        <w:ind w:firstLine="980"/>
        <w:spacing w:after="0" w:line="253" w:lineRule="auto"/>
        <w:tabs>
          <w:tab w:leader="none" w:pos="1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Manipulation</w:t>
      </w:r>
      <w:r>
        <w:rPr>
          <w:rFonts w:ascii="Times New Roman" w:cs="Times New Roman" w:eastAsia="Times New Roman" w:hAnsi="Times New Roman"/>
          <w:sz w:val="18"/>
          <w:szCs w:val="18"/>
          <w:color w:val="auto"/>
        </w:rPr>
        <w:t>. The Company and each of its subsidiaries has not taken and will not take, directly or indirectly, any action that is designed to or that has constituted or might reasonably be expected to cause or result in stabilization in violation of applicable European Union or French laws or manipulation of the price of the Underlying Common Shares and the Shares to facilitate the sale or resale of the Shares. The Company has not taken or omitted to take any action nor will take any action or omit to take any action which may result in the loss by any of the Agent of the ability to rely on any stabilization safe harbor provided under the Commission Delegated Regulation (EU) 2016/1052 of 8 March 2016 supplementing Regulation (EU) No 596/2014 of the European Parliament and of the Council with regard to regulatory technical standards for the conditions applicable to buy-back programs and stabilization measures. The Company authorizes the Agent to make adequate public disclosure of information, and to act as the central point responsible for handling any request from a competent authority, in each case as required by Article 6(5) of Commission Delegated Regulation (EU) 2016/1052 of March 8, 2016, as amended, with regard to regulatory technical standards for conditions applicable to buy-back programs and stabilization measures.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jc w:val="both"/>
        <w:ind w:firstLine="980"/>
        <w:spacing w:after="0" w:line="256" w:lineRule="auto"/>
        <w:tabs>
          <w:tab w:leader="none" w:pos="172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Abuse Regulations</w:t>
      </w:r>
      <w:r>
        <w:rPr>
          <w:rFonts w:ascii="Times New Roman" w:cs="Times New Roman" w:eastAsia="Times New Roman" w:hAnsi="Times New Roman"/>
          <w:sz w:val="18"/>
          <w:szCs w:val="18"/>
          <w:color w:val="auto"/>
        </w:rPr>
        <w:t>. The Company has complied in all material respects with the applicable provisions of EU Regulation No 596/2014 of April 16, 2014, as amended, on market abuse, delegated EU regulations adopted thereunder and the equivalent French laws and regulations (the “</w:t>
      </w:r>
      <w:r>
        <w:rPr>
          <w:rFonts w:ascii="Times New Roman" w:cs="Times New Roman" w:eastAsia="Times New Roman" w:hAnsi="Times New Roman"/>
          <w:sz w:val="18"/>
          <w:szCs w:val="18"/>
          <w:b w:val="1"/>
          <w:bCs w:val="1"/>
          <w:color w:val="auto"/>
        </w:rPr>
        <w:t>Market Abuse Rules</w:t>
      </w:r>
      <w:r>
        <w:rPr>
          <w:rFonts w:ascii="Times New Roman" w:cs="Times New Roman" w:eastAsia="Times New Roman" w:hAnsi="Times New Roman"/>
          <w:sz w:val="18"/>
          <w:szCs w:val="18"/>
          <w:color w:val="auto"/>
        </w:rPr>
        <w:t>”) and has taken adequate measures and has adequate procedures in place in order to ensure such compliance. The sale of the Shares and the consummation of the transactions contemplated by this Agreement will not cause or result in the violation of any material provision of the Market Abuse Rules, and no Company management board members or supervisory board members and to the knowledge of the Company, no officer, agent, or other person acting on behalf of the Company has done any act or engaged in any course of conduct constituting such violation.</w:t>
      </w:r>
    </w:p>
    <w:p>
      <w:pPr>
        <w:spacing w:after="0" w:line="187" w:lineRule="exact"/>
        <w:rPr>
          <w:rFonts w:ascii="Times New Roman" w:cs="Times New Roman" w:eastAsia="Times New Roman" w:hAnsi="Times New Roman"/>
          <w:sz w:val="18"/>
          <w:szCs w:val="18"/>
          <w:color w:val="auto"/>
        </w:rPr>
      </w:pPr>
    </w:p>
    <w:p>
      <w:pPr>
        <w:jc w:val="both"/>
        <w:ind w:firstLine="980"/>
        <w:spacing w:after="0" w:line="256" w:lineRule="auto"/>
        <w:tabs>
          <w:tab w:leader="none" w:pos="188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Authorization</w:t>
      </w:r>
      <w:r>
        <w:rPr>
          <w:rFonts w:ascii="Times New Roman" w:cs="Times New Roman" w:eastAsia="Times New Roman" w:hAnsi="Times New Roman"/>
          <w:sz w:val="18"/>
          <w:szCs w:val="18"/>
          <w:color w:val="auto"/>
        </w:rPr>
        <w:t>. The Company has full right, power and authority to execute and deliver the Agreement and to perform its obligations hereunder; and all action required to be taken for the due and proper authorization, execution and delivery by it of this Agreement and consummation by it of the transactions contemplated hereby has been duly and validly taken. The purchase and sale of the Shares pursuant to this Agreement are in the Company’s corporate interest and serving the Company’s corporate purpose (</w:t>
      </w:r>
      <w:r>
        <w:rPr>
          <w:rFonts w:ascii="Times New Roman" w:cs="Times New Roman" w:eastAsia="Times New Roman" w:hAnsi="Times New Roman"/>
          <w:sz w:val="18"/>
          <w:szCs w:val="18"/>
          <w:i w:val="1"/>
          <w:iCs w:val="1"/>
          <w:color w:val="auto"/>
        </w:rPr>
        <w:t>objet social</w:t>
      </w:r>
      <w:r>
        <w:rPr>
          <w:rFonts w:ascii="Times New Roman" w:cs="Times New Roman" w:eastAsia="Times New Roman" w:hAnsi="Times New Roman"/>
          <w:sz w:val="18"/>
          <w:szCs w:val="18"/>
          <w:color w:val="auto"/>
        </w:rPr>
        <w:t>) as set forth in the Company’s by-laws (</w:t>
      </w:r>
      <w:r>
        <w:rPr>
          <w:rFonts w:ascii="Times New Roman" w:cs="Times New Roman" w:eastAsia="Times New Roman" w:hAnsi="Times New Roman"/>
          <w:sz w:val="18"/>
          <w:szCs w:val="18"/>
          <w:i w:val="1"/>
          <w:iCs w:val="1"/>
          <w:color w:val="auto"/>
        </w:rPr>
        <w:t>statuts</w:t>
      </w:r>
      <w:r>
        <w:rPr>
          <w:rFonts w:ascii="Times New Roman" w:cs="Times New Roman" w:eastAsia="Times New Roman" w:hAnsi="Times New Roman"/>
          <w:sz w:val="18"/>
          <w:szCs w:val="18"/>
          <w:color w:val="auto"/>
        </w:rPr>
        <w:t>) or other constitutional documents and are an arm’s-length basis between the Company, on the one hand, and the Agent and any affiliate through which it may be acting, on the other.</w:t>
      </w:r>
    </w:p>
    <w:p>
      <w:pPr>
        <w:spacing w:after="0" w:line="187" w:lineRule="exact"/>
        <w:rPr>
          <w:rFonts w:ascii="Times New Roman" w:cs="Times New Roman" w:eastAsia="Times New Roman" w:hAnsi="Times New Roman"/>
          <w:sz w:val="18"/>
          <w:szCs w:val="18"/>
          <w:color w:val="auto"/>
        </w:rPr>
      </w:pPr>
    </w:p>
    <w:p>
      <w:pPr>
        <w:jc w:val="both"/>
        <w:ind w:firstLine="980"/>
        <w:spacing w:after="0" w:line="254" w:lineRule="auto"/>
        <w:tabs>
          <w:tab w:leader="none" w:pos="18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The Deposit Agreement was duly authorized, executed and delivered by the Company and, assuming due authorization, execution and delivery by the Depositary, constitutes a valid and legally binding agreement of the Company, enforceable in accordance with its terms, subject, as to enforceability, to bankruptcy, insolvency, reorganization and similar laws of general applicability relating to or affecting creditors’ rights and to general equity principles, and upon the deposit of Underlying Common Shares in respect of the Shares in accordance with the provisions of the Deposit Agreement, the Shares, when issued, will be validly issued and fully paid, and upon issuance by the Depositary of the Shares and the ADRs evidencing the Shares, such ADRs will be duly and validly issued and the persons in whose names the ADRs are registered will be entitled to the rights specified therein and in the Deposit Agreement; and the Deposit Agreement, the Shares and the ADRs conform in all material respects to the descriptions thereof contained in the Registration Statement and the Prospectus;</w:t>
      </w:r>
    </w:p>
    <w:p>
      <w:pPr>
        <w:spacing w:after="0" w:line="191" w:lineRule="exact"/>
        <w:rPr>
          <w:rFonts w:ascii="Times New Roman" w:cs="Times New Roman" w:eastAsia="Times New Roman" w:hAnsi="Times New Roman"/>
          <w:sz w:val="18"/>
          <w:szCs w:val="18"/>
          <w:color w:val="auto"/>
        </w:rPr>
      </w:pPr>
    </w:p>
    <w:p>
      <w:pPr>
        <w:jc w:val="both"/>
        <w:ind w:firstLine="980"/>
        <w:spacing w:after="0" w:line="256" w:lineRule="auto"/>
        <w:tabs>
          <w:tab w:leader="none" w:pos="179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All consents, approvals, authorizations, orders, registrations, clearances and qualifications of or with any court or governmental agency or body or any stock exchange authorities (hereinafter referred to as a “</w:t>
      </w:r>
      <w:r>
        <w:rPr>
          <w:rFonts w:ascii="Times New Roman" w:cs="Times New Roman" w:eastAsia="Times New Roman" w:hAnsi="Times New Roman"/>
          <w:sz w:val="18"/>
          <w:szCs w:val="18"/>
          <w:b w:val="1"/>
          <w:bCs w:val="1"/>
          <w:color w:val="auto"/>
        </w:rPr>
        <w:t>Governmental Agency</w:t>
      </w:r>
      <w:r>
        <w:rPr>
          <w:rFonts w:ascii="Times New Roman" w:cs="Times New Roman" w:eastAsia="Times New Roman" w:hAnsi="Times New Roman"/>
          <w:sz w:val="18"/>
          <w:szCs w:val="18"/>
          <w:color w:val="auto"/>
        </w:rPr>
        <w:t>”) having jurisdiction over the Company or any of its subsidiaries or any of their properties or any stock exchange authorities (hereinafter referred to as “</w:t>
      </w:r>
      <w:r>
        <w:rPr>
          <w:rFonts w:ascii="Times New Roman" w:cs="Times New Roman" w:eastAsia="Times New Roman" w:hAnsi="Times New Roman"/>
          <w:sz w:val="18"/>
          <w:szCs w:val="18"/>
          <w:b w:val="1"/>
          <w:bCs w:val="1"/>
          <w:color w:val="auto"/>
        </w:rPr>
        <w:t>Governmental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Authorizations</w:t>
      </w:r>
      <w:r>
        <w:rPr>
          <w:rFonts w:ascii="Times New Roman" w:cs="Times New Roman" w:eastAsia="Times New Roman" w:hAnsi="Times New Roman"/>
          <w:sz w:val="18"/>
          <w:szCs w:val="18"/>
          <w:color w:val="auto"/>
        </w:rPr>
        <w:t>”) required for the deposit of Underlying Common Shares, and the issuance of Shares in respect thereof and for the execution and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Company of this Agreement and the Deposit Agreement to be duly and validly authorized have been obtained or made and are in full force and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jc w:val="both"/>
        <w:ind w:firstLine="980"/>
        <w:spacing w:after="0" w:line="255" w:lineRule="auto"/>
        <w:tabs>
          <w:tab w:leader="none" w:pos="178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Distributions and Dividends</w:t>
      </w:r>
      <w:r>
        <w:rPr>
          <w:rFonts w:ascii="Times New Roman" w:cs="Times New Roman" w:eastAsia="Times New Roman" w:hAnsi="Times New Roman"/>
          <w:sz w:val="18"/>
          <w:szCs w:val="18"/>
          <w:color w:val="auto"/>
        </w:rPr>
        <w:t>. Except as described in the Prospectus, no approvals are currently required in France in order for the Company to pay dividends or other distributions declared by the Company to the holders of ADSs and Common Shares. Under current laws and regulations of France and any political subdivision thereof, any amount payable with respect to the ADSs upon liquidation of the Company or upon redemption thereof and dividends and other distributions declared and payable on the share capital of the Company may be paid by the Company in United States dollars and freely transferred out of France, and no such payments made to the holders thereof or therein who are non-residents of France will be subject to income, withholding or other taxes under laws and regulations of France or any political subdivision or taxing authority thereof or therein and without the necessity of obtaining any governmental authorization in France or any political subdivision or taxing authority thereof or therein;</w:t>
      </w:r>
    </w:p>
    <w:p>
      <w:pPr>
        <w:spacing w:after="0" w:line="188" w:lineRule="exact"/>
        <w:rPr>
          <w:rFonts w:ascii="Times New Roman" w:cs="Times New Roman" w:eastAsia="Times New Roman" w:hAnsi="Times New Roman"/>
          <w:sz w:val="18"/>
          <w:szCs w:val="18"/>
          <w:color w:val="auto"/>
        </w:rPr>
      </w:pPr>
    </w:p>
    <w:p>
      <w:pPr>
        <w:jc w:val="both"/>
        <w:ind w:firstLine="980"/>
        <w:spacing w:after="0" w:line="261" w:lineRule="auto"/>
        <w:tabs>
          <w:tab w:leader="none" w:pos="20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Admissibility</w:t>
      </w:r>
      <w:r>
        <w:rPr>
          <w:rFonts w:ascii="Times New Roman" w:cs="Times New Roman" w:eastAsia="Times New Roman" w:hAnsi="Times New Roman"/>
          <w:sz w:val="18"/>
          <w:szCs w:val="18"/>
          <w:color w:val="auto"/>
        </w:rPr>
        <w:t>. The legality, validity, enforceability or admissibility into evidence of any of the Registration Statement, the Prospectus, this Agreement or the Shares in any jurisdiction in which the Company is organized or does business is not dependent upon such document being submitted into, filed or recorded with any court or other authority in any such jurisdiction on or before the date hereof or that any tax, imposition or charge be paid in any such jurisdiction on or in respect of any such document;</w:t>
      </w:r>
    </w:p>
    <w:p>
      <w:pPr>
        <w:spacing w:after="0" w:line="180" w:lineRule="exact"/>
        <w:rPr>
          <w:sz w:val="20"/>
          <w:szCs w:val="20"/>
          <w:color w:val="auto"/>
        </w:rPr>
      </w:pPr>
    </w:p>
    <w:p>
      <w:pPr>
        <w:jc w:val="both"/>
        <w:ind w:firstLine="980"/>
        <w:spacing w:after="0" w:line="261" w:lineRule="auto"/>
        <w:tabs>
          <w:tab w:leader="none" w:pos="186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Immunity</w:t>
      </w:r>
      <w:r>
        <w:rPr>
          <w:rFonts w:ascii="Times New Roman" w:cs="Times New Roman" w:eastAsia="Times New Roman" w:hAnsi="Times New Roman"/>
          <w:sz w:val="18"/>
          <w:szCs w:val="18"/>
          <w:color w:val="auto"/>
        </w:rPr>
        <w:t>. Any holder of the Shares and the Agent are each entitled to sue as plaintiff in the court of the jurisdiction of formation and domicile of the Company for the enforcement of their respective rights under this Agreement and the Shares and such access to such courts will not be subject to any conditions which are not applicable to residents of such jurisdiction or a company incorporated in such jurisdiction except that plaintiffs not residing in France may be required to guarantee payment of a possible order for payment of costs or damages at the request of the defendant;</w:t>
      </w:r>
    </w:p>
    <w:p>
      <w:pPr>
        <w:spacing w:after="0" w:line="179" w:lineRule="exact"/>
        <w:rPr>
          <w:rFonts w:ascii="Times New Roman" w:cs="Times New Roman" w:eastAsia="Times New Roman" w:hAnsi="Times New Roman"/>
          <w:sz w:val="18"/>
          <w:szCs w:val="18"/>
          <w:color w:val="auto"/>
        </w:rPr>
      </w:pPr>
    </w:p>
    <w:p>
      <w:pPr>
        <w:jc w:val="both"/>
        <w:ind w:firstLine="980"/>
        <w:spacing w:after="0" w:line="252" w:lineRule="auto"/>
        <w:tabs>
          <w:tab w:leader="none" w:pos="173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Choice of Law</w:t>
      </w:r>
      <w:r>
        <w:rPr>
          <w:rFonts w:ascii="Times New Roman" w:cs="Times New Roman" w:eastAsia="Times New Roman" w:hAnsi="Times New Roman"/>
          <w:sz w:val="18"/>
          <w:szCs w:val="18"/>
          <w:color w:val="auto"/>
        </w:rPr>
        <w:t>. The choice of the law of the State of New York as the governing law of this Agreement is a valid choice of law under French law and will be honored by French courts. The Company has the power to submit, and pursuant to Section 8 of this Agreement and Section 7.6 of the Deposit Agreement, has legally, validly, effectively and irrevocably submitted, to the personal jurisdiction of (i) the federal courts of the United States located in the City and County of New York, Borough of Manhattan or (ii) the courts of the State of New York located in the City and County of New York, Borough of Manhattan (collectively, the “Specified Courts”), and the Company has legally, validly, effectively and irrevocably designated, appointed and authorized an agent for service of process in any action arising out of or relating to this Agreement or the Shares in any Specified Court. Neither the Company nor any of its subsidiaries or their properties or assets has immunity under the laws of French, U.S. federal or New York state law from any legal action, suit or proceeding, from the giving of any relief in any such legal action, suit or proceeding, from set-off or counterclaim, from the jurisdiction of any French, U.S. federal or New York state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their respective obligations, liabilities or any other matter under or arising out of or in connection herewith; and, to the extent that the Company or any of its subsidiaries or any of its properties, assets or revenues may have or may hereafter become entitled to any such right of immunity in any such court in which proceedings arising out of, or relating to the transactions contemplated by this Agreement, may at any time be commenced, the Company has, pursuant to Section 8 of this Agreement and Section 7.6 of the Deposit Agreement, waived, and it will waive, or will cause its subsidiaries to waive, such right to the extent permitted by law. The indemnification and contribution provisions set forth in Section 6 hereof do not contravene French law or public policy;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jc w:val="both"/>
        <w:ind w:firstLine="980"/>
        <w:spacing w:after="0" w:line="258" w:lineRule="auto"/>
        <w:tabs>
          <w:tab w:leader="none" w:pos="18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of Judgements</w:t>
      </w:r>
      <w:r>
        <w:rPr>
          <w:rFonts w:ascii="Times New Roman" w:cs="Times New Roman" w:eastAsia="Times New Roman" w:hAnsi="Times New Roman"/>
          <w:sz w:val="18"/>
          <w:szCs w:val="18"/>
          <w:color w:val="auto"/>
        </w:rPr>
        <w:t>. Any final judgment for a fixed or determined sum of money rendered by any U.S. federal or New York state court located in the State of New York having jurisdiction under its own laws in respect of any suit, action or proceeding against the Company based upon this Agreement would be enforceable against the Company by the courts of France, without reconsideration or reexamination of the merits provided it meets the conditions established by French case law, in particular that (i) the court having rendered the judgement is materially connected to the dispute, (ii) the judgement does not contravene French public policy, and (iii) the judgement is not tainted with fraud;</w:t>
      </w:r>
    </w:p>
    <w:p>
      <w:pPr>
        <w:spacing w:after="0" w:line="183" w:lineRule="exact"/>
        <w:rPr>
          <w:rFonts w:ascii="Times New Roman" w:cs="Times New Roman" w:eastAsia="Times New Roman" w:hAnsi="Times New Roman"/>
          <w:sz w:val="18"/>
          <w:szCs w:val="18"/>
          <w:color w:val="auto"/>
        </w:rPr>
      </w:pPr>
    </w:p>
    <w:p>
      <w:pPr>
        <w:ind w:firstLine="980"/>
        <w:spacing w:after="0" w:line="282" w:lineRule="auto"/>
        <w:tabs>
          <w:tab w:leader="none" w:pos="19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Rated Securities</w:t>
      </w:r>
      <w:r>
        <w:rPr>
          <w:rFonts w:ascii="Times New Roman" w:cs="Times New Roman" w:eastAsia="Times New Roman" w:hAnsi="Times New Roman"/>
          <w:sz w:val="18"/>
          <w:szCs w:val="18"/>
          <w:color w:val="auto"/>
        </w:rPr>
        <w:t>. The Company has no debt securities or preference shares that are rated by any “nationally recognized statistical rating organization” (as that term is defined by the Commission in Section 436(g)(2) of the Act);</w:t>
      </w:r>
    </w:p>
    <w:p>
      <w:pPr>
        <w:spacing w:after="0" w:line="161" w:lineRule="exact"/>
        <w:rPr>
          <w:rFonts w:ascii="Times New Roman" w:cs="Times New Roman" w:eastAsia="Times New Roman" w:hAnsi="Times New Roman"/>
          <w:sz w:val="18"/>
          <w:szCs w:val="18"/>
          <w:color w:val="auto"/>
        </w:rPr>
      </w:pPr>
    </w:p>
    <w:p>
      <w:pPr>
        <w:jc w:val="both"/>
        <w:ind w:firstLine="980"/>
        <w:spacing w:after="0" w:line="256" w:lineRule="auto"/>
        <w:tabs>
          <w:tab w:leader="none" w:pos="17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Relationships</w:t>
      </w:r>
      <w:r>
        <w:rPr>
          <w:rFonts w:ascii="Times New Roman" w:cs="Times New Roman" w:eastAsia="Times New Roman" w:hAnsi="Times New Roman"/>
          <w:sz w:val="18"/>
          <w:szCs w:val="18"/>
          <w:color w:val="auto"/>
        </w:rPr>
        <w:t xml:space="preserve">. No relationship, direct or indirect, exists between or among the Company or any of its subsidiaries, on the one hand, and the supervisory board members or management board members, officers, shareholders, customers or suppliers of the Company or any of its subsidiaries, on the other, that is required by the Act to be described in the Registration Statement and the Prospectus and that is not so described in such documents and in the Registration Statement and the Prospectus. There are no business relationships or related-party transactions, including </w:t>
      </w:r>
      <w:r>
        <w:rPr>
          <w:rFonts w:ascii="Times New Roman" w:cs="Times New Roman" w:eastAsia="Times New Roman" w:hAnsi="Times New Roman"/>
          <w:sz w:val="18"/>
          <w:szCs w:val="18"/>
          <w:i w:val="1"/>
          <w:iCs w:val="1"/>
          <w:color w:val="auto"/>
        </w:rPr>
        <w:t xml:space="preserve">conventions réglementées </w:t>
      </w:r>
      <w:r>
        <w:rPr>
          <w:rFonts w:ascii="Times New Roman" w:cs="Times New Roman" w:eastAsia="Times New Roman" w:hAnsi="Times New Roman"/>
          <w:sz w:val="18"/>
          <w:szCs w:val="18"/>
          <w:color w:val="auto"/>
        </w:rPr>
        <w:t>under Article L. 225-86 et seq. of the French Commercial Code, involving the Company or any of its subsidiaries or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required to be described in the Registration Statement or Prospectus that have not been described as required;</w:t>
      </w:r>
    </w:p>
    <w:p>
      <w:pPr>
        <w:spacing w:after="0" w:line="187" w:lineRule="exact"/>
        <w:rPr>
          <w:rFonts w:ascii="Times New Roman" w:cs="Times New Roman" w:eastAsia="Times New Roman" w:hAnsi="Times New Roman"/>
          <w:sz w:val="18"/>
          <w:szCs w:val="18"/>
          <w:color w:val="auto"/>
        </w:rPr>
      </w:pPr>
    </w:p>
    <w:p>
      <w:pPr>
        <w:ind w:firstLine="980"/>
        <w:spacing w:after="0" w:line="282" w:lineRule="auto"/>
        <w:tabs>
          <w:tab w:leader="none" w:pos="18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Agreements</w:t>
      </w:r>
      <w:r>
        <w:rPr>
          <w:rFonts w:ascii="Times New Roman" w:cs="Times New Roman" w:eastAsia="Times New Roman" w:hAnsi="Times New Roman"/>
          <w:sz w:val="18"/>
          <w:szCs w:val="18"/>
          <w:color w:val="auto"/>
        </w:rPr>
        <w:t>. There are no contracts, arrangements or documents which are required to be described in the Registration Statement or to be filed as exhibits thereto which have not been so described and filed as required;</w:t>
      </w:r>
    </w:p>
    <w:p>
      <w:pPr>
        <w:spacing w:after="0" w:line="161" w:lineRule="exact"/>
        <w:rPr>
          <w:rFonts w:ascii="Times New Roman" w:cs="Times New Roman" w:eastAsia="Times New Roman" w:hAnsi="Times New Roman"/>
          <w:sz w:val="18"/>
          <w:szCs w:val="18"/>
          <w:color w:val="auto"/>
        </w:rPr>
      </w:pPr>
    </w:p>
    <w:p>
      <w:pPr>
        <w:jc w:val="both"/>
        <w:ind w:firstLine="980"/>
        <w:spacing w:after="0" w:line="258" w:lineRule="auto"/>
        <w:tabs>
          <w:tab w:leader="none" w:pos="187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Sarbanes-Oxley Act</w:t>
      </w:r>
      <w:r>
        <w:rPr>
          <w:rFonts w:ascii="Times New Roman" w:cs="Times New Roman" w:eastAsia="Times New Roman" w:hAnsi="Times New Roman"/>
          <w:sz w:val="18"/>
          <w:szCs w:val="18"/>
          <w:color w:val="auto"/>
        </w:rPr>
        <w:t>. The Company and each supervisory board member or management board member and officer of the Company, in their capacities as such, are in compliance, to the extent required, with all provisions of the Sarbanes-Oxley Act of 2002, as amended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and all rules and regulations promulgated thereunder applicable to, and the Company at such time, and is taking steps designed to ensure that it will be in compliance, at all times, with the other provisions of the Sarbanes-Oxley Act when they become applicable to the Company;</w:t>
      </w:r>
    </w:p>
    <w:p>
      <w:pPr>
        <w:spacing w:after="0" w:line="183" w:lineRule="exact"/>
        <w:rPr>
          <w:rFonts w:ascii="Times New Roman" w:cs="Times New Roman" w:eastAsia="Times New Roman" w:hAnsi="Times New Roman"/>
          <w:sz w:val="18"/>
          <w:szCs w:val="18"/>
          <w:color w:val="auto"/>
        </w:rPr>
      </w:pPr>
    </w:p>
    <w:p>
      <w:pPr>
        <w:ind w:left="1720" w:hanging="740"/>
        <w:spacing w:after="0"/>
        <w:tabs>
          <w:tab w:leader="none" w:pos="1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Private Issuer</w:t>
      </w:r>
      <w:r>
        <w:rPr>
          <w:rFonts w:ascii="Times New Roman" w:cs="Times New Roman" w:eastAsia="Times New Roman" w:hAnsi="Times New Roman"/>
          <w:sz w:val="18"/>
          <w:szCs w:val="18"/>
          <w:color w:val="auto"/>
        </w:rPr>
        <w:t>. The Company is a “foreign private issuer” as defined in Rule 405 under the Securities Act;</w:t>
      </w:r>
    </w:p>
    <w:p>
      <w:pPr>
        <w:spacing w:after="0" w:line="225" w:lineRule="exact"/>
        <w:rPr>
          <w:rFonts w:ascii="Times New Roman" w:cs="Times New Roman" w:eastAsia="Times New Roman" w:hAnsi="Times New Roman"/>
          <w:sz w:val="18"/>
          <w:szCs w:val="18"/>
          <w:color w:val="auto"/>
        </w:rPr>
      </w:pPr>
    </w:p>
    <w:p>
      <w:pPr>
        <w:jc w:val="both"/>
        <w:ind w:firstLine="980"/>
        <w:spacing w:after="0" w:line="254" w:lineRule="auto"/>
        <w:tabs>
          <w:tab w:leader="none" w:pos="17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 Agreements under French Law</w:t>
      </w:r>
      <w:r>
        <w:rPr>
          <w:rFonts w:ascii="Times New Roman" w:cs="Times New Roman" w:eastAsia="Times New Roman" w:hAnsi="Times New Roman"/>
          <w:sz w:val="18"/>
          <w:szCs w:val="18"/>
          <w:color w:val="auto"/>
        </w:rPr>
        <w:t>. Each of this Agreement and the Deposit Agreement is in proper form to be enforceable against the Company in France in accordance with its terms, except as enforceability may be limited by applicable bankruptcy, insolvency, reorganization or similar laws affecting the enforcement of creditors’ rights generally or by equitable principles relating to enforceability; to ensure the legality, validity, enforceability or admissibility into evidence in France of this Agreement or the Deposit Agreement, it is not necessary that this Agreement or the Deposit Agreement be filed or recorded with any court or other authority in France (other than court filings in the normal course of proceedings) or that any stamp or similar tax (other than nominal stamp tax duty if this Agreement and the Deposit Agreement are executed in or brought into France) in France be paid on or in respect of this Agreement, the Deposit Agreement or any other documents to be furnished hereunder; provided that, as a general rule, any document in a language other than French must be translated into French by an official sworn translator if it is to be submitted as evidence in any action or proceedings before a French court or public body or used for any purpose (including registration) with public bodies;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jc w:val="both"/>
        <w:ind w:firstLine="980"/>
        <w:spacing w:after="0" w:line="255" w:lineRule="auto"/>
        <w:tabs>
          <w:tab w:leader="none" w:pos="17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Transfer Taxes, Etc</w:t>
      </w:r>
      <w:r>
        <w:rPr>
          <w:rFonts w:ascii="Times New Roman" w:cs="Times New Roman" w:eastAsia="Times New Roman" w:hAnsi="Times New Roman"/>
          <w:sz w:val="18"/>
          <w:szCs w:val="18"/>
          <w:color w:val="auto"/>
        </w:rPr>
        <w:t xml:space="preserve">. No transaction, stamp, documentary, capital, issuance, registration, transfer, withholding, or other taxes or duties (including, for the avoidance of doubt, financial transaction tax as set out in Article 235 ter ZD of the </w:t>
      </w:r>
      <w:r>
        <w:rPr>
          <w:rFonts w:ascii="Times New Roman" w:cs="Times New Roman" w:eastAsia="Times New Roman" w:hAnsi="Times New Roman"/>
          <w:sz w:val="18"/>
          <w:szCs w:val="18"/>
          <w:i w:val="1"/>
          <w:iCs w:val="1"/>
          <w:color w:val="auto"/>
        </w:rPr>
        <w:t>Code général des impôts</w:t>
      </w:r>
      <w:r>
        <w:rPr>
          <w:rFonts w:ascii="Times New Roman" w:cs="Times New Roman" w:eastAsia="Times New Roman" w:hAnsi="Times New Roman"/>
          <w:sz w:val="18"/>
          <w:szCs w:val="18"/>
          <w:color w:val="auto"/>
        </w:rPr>
        <w:t>) are payable by or on behalf of the Agent, the Company or its subsidiaries in France or to any taxing authority thereof or therein in connection with (i) the issuance, sale and delivery of the Underlying Common Shares by the Company, the issuance of the Shares by the Depositary; (ii) the purchase from the Company, and the initial sale and delivery by the Agent of the Shares to purchasers thereof; (iii) the holding or transfer of the Shares; (iv) the deposit of the Underlying Common Shares with the Depositary and the issuance and delivery by the Depositary of the Shares; or (v) the execution and delivery and performance of this Agreement or the Deposit Agreement or any other document to be furnished hereunder.</w:t>
      </w:r>
    </w:p>
    <w:p>
      <w:pPr>
        <w:spacing w:after="0" w:line="188" w:lineRule="exact"/>
        <w:rPr>
          <w:rFonts w:ascii="Times New Roman" w:cs="Times New Roman" w:eastAsia="Times New Roman" w:hAnsi="Times New Roman"/>
          <w:sz w:val="18"/>
          <w:szCs w:val="18"/>
          <w:color w:val="auto"/>
        </w:rPr>
      </w:pPr>
    </w:p>
    <w:p>
      <w:pPr>
        <w:ind w:firstLine="980"/>
        <w:spacing w:after="0" w:line="282" w:lineRule="auto"/>
        <w:tabs>
          <w:tab w:leader="none" w:pos="17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Underwriting Agreements</w:t>
      </w:r>
      <w:r>
        <w:rPr>
          <w:rFonts w:ascii="Times New Roman" w:cs="Times New Roman" w:eastAsia="Times New Roman" w:hAnsi="Times New Roman"/>
          <w:sz w:val="18"/>
          <w:szCs w:val="18"/>
          <w:color w:val="auto"/>
        </w:rPr>
        <w:t>. The Company is not a party to any agreement with an agent or underwriter for any other "at-the-market" or continuous equity transaction.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acknowledges that the Agent and, for purposes of the opinions to be delivered pursuant to </w:t>
      </w:r>
      <w:r>
        <w:rPr>
          <w:rFonts w:ascii="Times New Roman" w:cs="Times New Roman" w:eastAsia="Times New Roman" w:hAnsi="Times New Roman"/>
          <w:sz w:val="18"/>
          <w:szCs w:val="18"/>
          <w:u w:val="single" w:color="auto"/>
          <w:color w:val="auto"/>
        </w:rPr>
        <w:t>Section 4(p)</w:t>
      </w:r>
      <w:r>
        <w:rPr>
          <w:rFonts w:ascii="Times New Roman" w:cs="Times New Roman" w:eastAsia="Times New Roman" w:hAnsi="Times New Roman"/>
          <w:sz w:val="18"/>
          <w:szCs w:val="18"/>
          <w:color w:val="auto"/>
        </w:rPr>
        <w:t xml:space="preserve"> hereof, counsel to the Company and counsel to the Agent, will rely upon the accuracy and truthfulness of the foregoing representations and hereby consents to such reliance.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ISSUANCE AND SALE OF ADSs</w:t>
      </w:r>
    </w:p>
    <w:p>
      <w:pPr>
        <w:spacing w:after="0" w:line="229" w:lineRule="exact"/>
        <w:rPr>
          <w:sz w:val="20"/>
          <w:szCs w:val="20"/>
          <w:color w:val="auto"/>
        </w:rPr>
      </w:pPr>
    </w:p>
    <w:p>
      <w:pPr>
        <w:jc w:val="both"/>
        <w:ind w:firstLine="656"/>
        <w:spacing w:after="0" w:line="261" w:lineRule="auto"/>
        <w:tabs>
          <w:tab w:leader="none" w:pos="15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Securities</w:t>
      </w:r>
      <w:r>
        <w:rPr>
          <w:rFonts w:ascii="Times New Roman" w:cs="Times New Roman" w:eastAsia="Times New Roman" w:hAnsi="Times New Roman"/>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To the extent, as provided above, that the total number of Underlying Common Shares issued pursuant to this Agreement over a 12-month rolling period represents, once issued and together with all the other Common Shares which have been admitted to trading on Euronext over the same 12 month period without a French listing prospectus approved by the French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less than 20% of the total number of Common Shares admitted to trading on Euronext on the date the admission to trading of the Underlying Common Shares is requested, no prospectus is required for such admission to trading pursuant to Regulation (EU) 2017/1129 of the European Parliament and of the Council dated June 14, 2017, as amended.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Each of the Company and the Agent acknowledges that the Shares may only be sold in compliance with applicable French or foreign law and the limits and other conditions set forth in the corporate authorizations of the Company applicable at the time of issuance of the Shares.</w:t>
      </w:r>
    </w:p>
    <w:p>
      <w:pPr>
        <w:spacing w:after="0" w:line="162" w:lineRule="exact"/>
        <w:rPr>
          <w:sz w:val="20"/>
          <w:szCs w:val="20"/>
          <w:color w:val="auto"/>
        </w:rPr>
      </w:pPr>
    </w:p>
    <w:p>
      <w:pPr>
        <w:ind w:left="1320" w:hanging="66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Issuances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136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Notice</w:t>
      </w:r>
      <w:r>
        <w:rPr>
          <w:rFonts w:ascii="Times New Roman" w:cs="Times New Roman" w:eastAsia="Times New Roman" w:hAnsi="Times New Roman"/>
          <w:sz w:val="18"/>
          <w:szCs w:val="18"/>
          <w:color w:val="auto"/>
        </w:rPr>
        <w:t xml:space="preserve">. Upon the terms and subject to the conditions set forth herein, on any Trading Day during the Agency Period on which the conditions set forth in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shall have been satisfied, the Company may exercise its right to request an issuance of Shares by delivering to the Agent an Issuance Notice;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in no event may the Company deliver an Issuance Notice to the extent that (I)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91" w:lineRule="exact"/>
        <w:rPr>
          <w:rFonts w:ascii="Times New Roman" w:cs="Times New Roman" w:eastAsia="Times New Roman" w:hAnsi="Times New Roman"/>
          <w:sz w:val="18"/>
          <w:szCs w:val="18"/>
          <w:color w:val="auto"/>
        </w:rPr>
      </w:pPr>
    </w:p>
    <w:p>
      <w:pPr>
        <w:ind w:left="1460" w:hanging="814"/>
        <w:spacing w:after="0"/>
        <w:tabs>
          <w:tab w:leader="none" w:pos="1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Letters</w:t>
      </w:r>
      <w:r>
        <w:rPr>
          <w:rFonts w:ascii="Times New Roman" w:cs="Times New Roman" w:eastAsia="Times New Roman" w:hAnsi="Times New Roman"/>
          <w:sz w:val="18"/>
          <w:szCs w:val="18"/>
          <w:color w:val="auto"/>
        </w:rPr>
        <w:t>. Each purchaser of Shares shall provide to the Agent, no later than the Trading Day on which Shares are sold to such</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purchaser pursuant to this Agreement, an executed investor letter (each, an “</w:t>
      </w:r>
      <w:r>
        <w:rPr>
          <w:rFonts w:ascii="Times New Roman" w:cs="Times New Roman" w:eastAsia="Times New Roman" w:hAnsi="Times New Roman"/>
          <w:sz w:val="18"/>
          <w:szCs w:val="18"/>
          <w:u w:val="single" w:color="auto"/>
          <w:color w:val="auto"/>
        </w:rPr>
        <w:t>Investor Letter</w:t>
      </w:r>
      <w:r>
        <w:rPr>
          <w:rFonts w:ascii="Times New Roman" w:cs="Times New Roman" w:eastAsia="Times New Roman" w:hAnsi="Times New Roman"/>
          <w:sz w:val="18"/>
          <w:szCs w:val="18"/>
          <w:color w:val="auto"/>
        </w:rPr>
        <w:t xml:space="preserve">”) in substantially the form attached as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which form shall be delivered by the Agent to each prospective purchaser of Shares hereunder, and the Agent shall not sell Shares to any purchaser who shall not have delivered such Investor Letter.</w:t>
      </w:r>
    </w:p>
    <w:p>
      <w:pPr>
        <w:spacing w:after="0" w:line="186" w:lineRule="exact"/>
        <w:rPr>
          <w:sz w:val="20"/>
          <w:szCs w:val="20"/>
          <w:color w:val="auto"/>
        </w:rPr>
      </w:pPr>
    </w:p>
    <w:p>
      <w:pPr>
        <w:jc w:val="both"/>
        <w:ind w:firstLine="646"/>
        <w:spacing w:after="0" w:line="253" w:lineRule="auto"/>
        <w:tabs>
          <w:tab w:leader="none" w:pos="149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Efforts</w:t>
      </w:r>
      <w:r>
        <w:rPr>
          <w:rFonts w:ascii="Times New Roman" w:cs="Times New Roman" w:eastAsia="Times New Roman" w:hAnsi="Times New Roman"/>
          <w:sz w:val="18"/>
          <w:szCs w:val="18"/>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proposed sale of the Shares described therein has been suspended, cancelled or otherwise terminated in accordance with the terms of this Agreement, provided that the Issuance Notice complies with (i) the Maximum Program Amount, (ii) the other terms provided for herein, and (iii) French law and applicable corporate authorizations of the Company. The Agent will notify the Company of the bids received for Shares in compliance with the terms of the Issuance Notice (an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Notification</w:t>
      </w:r>
      <w:r>
        <w:rPr>
          <w:rFonts w:ascii="Times New Roman" w:cs="Times New Roman" w:eastAsia="Times New Roman" w:hAnsi="Times New Roman"/>
          <w:sz w:val="18"/>
          <w:szCs w:val="18"/>
          <w:color w:val="auto"/>
        </w:rPr>
        <w:t>”) (such Agent Notification may be by email to the Company’s Chief Executive Officer). Such Agent Notification shall contain the price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Shares would be purchased, the counterparty/parties bidding for such Shares and the number of Shares to be placed with such counterparty/parties and shall be accompanied by an e-mail confirmation, in the form set forth in Exhibit C hereto, of a representative of each bidding party confirming that such bidding party falls within one of the categories identified in the Investor Letter. For the avoidance of doubt, the parties to this Agreement may modify an Issuance Notice at any time provided they both agree in writing to any such modification.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jc w:val="both"/>
        <w:ind w:firstLine="656"/>
        <w:spacing w:after="0" w:line="254" w:lineRule="auto"/>
        <w:tabs>
          <w:tab w:leader="none" w:pos="131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Offer and Sale</w:t>
      </w:r>
      <w:r>
        <w:rPr>
          <w:rFonts w:ascii="Times New Roman" w:cs="Times New Roman" w:eastAsia="Times New Roman" w:hAnsi="Times New Roman"/>
          <w:sz w:val="18"/>
          <w:szCs w:val="18"/>
          <w:color w:val="auto"/>
        </w:rPr>
        <w:t>. The Shares may be sold (A) in negotiated transactions with the written consent of the Company; or (B) by any other method permitted by law that is deemed to be an “at the market offering” as defined in Rule 415(a)(4) under the Securities Act, including block transactions, sales made directly on the Principal Market or sales made into any other existing trading market of the ADSs, provided that for (A)‎ and (B),‎ such sales are made in compliance with French law and within the limits and conditions set forth by the corporate authorizations of the Company, which shall be specified in the Issuance Notice. Nothing in this Agreement shall be deemed to require either party to agree to any specific method of offer and sale specified in the preceding sentence, except insofar as required for compliance with French law and applicable corporate authorizations of the Company, and (except as specified in clause (A)‎ above or as required for compliance with French law and applicable corporate authorizations of the Company) the method of placement of any Shares by the Agent shall be at the Agent’s discretion.</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13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Decision</w:t>
      </w:r>
      <w:r>
        <w:rPr>
          <w:rFonts w:ascii="Times New Roman" w:cs="Times New Roman" w:eastAsia="Times New Roman" w:hAnsi="Times New Roman"/>
          <w:sz w:val="18"/>
          <w:szCs w:val="18"/>
          <w:color w:val="auto"/>
        </w:rPr>
        <w:t xml:space="preserve">. Following the receipt of an Agent Notification provided for in </w:t>
      </w:r>
      <w:r>
        <w:rPr>
          <w:rFonts w:ascii="Times New Roman" w:cs="Times New Roman" w:eastAsia="Times New Roman" w:hAnsi="Times New Roman"/>
          <w:sz w:val="18"/>
          <w:szCs w:val="18"/>
          <w:u w:val="single" w:color="auto"/>
          <w:color w:val="auto"/>
        </w:rPr>
        <w:t>Section 3(b)(iii)</w:t>
      </w:r>
      <w:r>
        <w:rPr>
          <w:rFonts w:ascii="Times New Roman" w:cs="Times New Roman" w:eastAsia="Times New Roman" w:hAnsi="Times New Roman"/>
          <w:sz w:val="18"/>
          <w:szCs w:val="18"/>
          <w:color w:val="auto"/>
        </w:rPr>
        <w:t xml:space="preserve"> and no later than 3:30 pm (New York City time) on the Trading Day on which the Company wants to sell Shares, the Company shall issue a decision of the Supervisory Board or the Chief Executive Officer of the Company in the form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Issuance Decision</w:t>
      </w:r>
      <w:r>
        <w:rPr>
          <w:rFonts w:ascii="Times New Roman" w:cs="Times New Roman" w:eastAsia="Times New Roman" w:hAnsi="Times New Roman"/>
          <w:sz w:val="18"/>
          <w:szCs w:val="18"/>
          <w:color w:val="auto"/>
        </w:rPr>
        <w:t xml:space="preserve">”), acting upon delegated authority, reflecting the Company’s decision to issue the Shares, allocated, and at such price, as set forth in the Agent Notification to the Company provided in </w:t>
      </w:r>
      <w:r>
        <w:rPr>
          <w:rFonts w:ascii="Times New Roman" w:cs="Times New Roman" w:eastAsia="Times New Roman" w:hAnsi="Times New Roman"/>
          <w:sz w:val="18"/>
          <w:szCs w:val="18"/>
          <w:u w:val="single" w:color="auto"/>
          <w:color w:val="auto"/>
        </w:rPr>
        <w:t>Section 3(b)(iii)</w:t>
      </w:r>
      <w:r>
        <w:rPr>
          <w:rFonts w:ascii="Times New Roman" w:cs="Times New Roman" w:eastAsia="Times New Roman" w:hAnsi="Times New Roman"/>
          <w:sz w:val="18"/>
          <w:szCs w:val="18"/>
          <w:color w:val="auto"/>
        </w:rPr>
        <w:t>, subject to settlement on the relevant Settlement Date, it being specified that for each issuance of Shares the equivalent in Euro of the Sales Price will be set by the Supervisory Board or the Chief Executive Officer based upon the U.S. dollar-Euro exchange rate, as published by the European Central Bank on that</w:t>
      </w:r>
    </w:p>
    <w:p>
      <w:pPr>
        <w:spacing w:after="0" w:line="5" w:lineRule="exact"/>
        <w:rPr>
          <w:sz w:val="20"/>
          <w:szCs w:val="20"/>
          <w:color w:val="auto"/>
        </w:rPr>
      </w:pPr>
    </w:p>
    <w:p>
      <w:pPr>
        <w:ind w:right="20"/>
        <w:spacing w:after="0" w:line="209" w:lineRule="auto"/>
        <w:rPr>
          <w:sz w:val="20"/>
          <w:szCs w:val="20"/>
          <w:color w:val="auto"/>
        </w:rPr>
      </w:pPr>
      <w:r>
        <w:rPr>
          <w:rFonts w:ascii="Times New Roman" w:cs="Times New Roman" w:eastAsia="Times New Roman" w:hAnsi="Times New Roman"/>
          <w:sz w:val="18"/>
          <w:szCs w:val="18"/>
          <w:color w:val="auto"/>
        </w:rPr>
        <w:t>date and within the price limits set forth in the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resolution of the Company’s combined general shareholders’ meeting held on June 23, 2022 (or any substitute resolutions thereto adopted at a subsequent shareholders’ meeting).</w:t>
      </w:r>
    </w:p>
    <w:p>
      <w:pPr>
        <w:spacing w:after="0" w:line="200" w:lineRule="exact"/>
        <w:rPr>
          <w:sz w:val="20"/>
          <w:szCs w:val="20"/>
          <w:color w:val="auto"/>
        </w:rPr>
      </w:pPr>
    </w:p>
    <w:p>
      <w:pPr>
        <w:jc w:val="both"/>
        <w:ind w:firstLine="656"/>
        <w:spacing w:after="0" w:line="253" w:lineRule="auto"/>
        <w:tabs>
          <w:tab w:leader="none" w:pos="15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Post-Sale Confirmation to the Company</w:t>
      </w:r>
      <w:r>
        <w:rPr>
          <w:rFonts w:ascii="Times New Roman" w:cs="Times New Roman" w:eastAsia="Times New Roman" w:hAnsi="Times New Roman"/>
          <w:sz w:val="18"/>
          <w:szCs w:val="18"/>
          <w:color w:val="auto"/>
        </w:rPr>
        <w:t xml:space="preserve">. The Agent will provide (i) written confirmation to the Company (including by email correspondence to each of the Company individuals set forth in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if receipt of such email correspondence is actually acknowledged by any of the individuals to whom the notice is sent, other than via auto-reply) no later than 11:59 p.m. (New York City Time) on the Trading Day on which it has placed Shares hereunder setting forth the identity of each purchaser, the number of shares sold on such Trading Day to each such purchaser and the Sales Price, in each case, consistent with the Issuance Decision, as well as the corresponding Issuance Amount and Net Proceeds payable to the Company in respect thereof, and (ii) copies of such documents as required by French law and the limits and other conditions set forth in the corporate authorizations of the Company in a form acceptable by the Company, including the Investor Letters. Notwithstanding the foregoing, the Agent acknowledges that the written</w:t>
      </w:r>
    </w:p>
    <w:p>
      <w:pPr>
        <w:spacing w:after="0" w:line="2"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set forth in this Section‎ 3(b)(vi) may not differ from the terms set forth in the Issuance Decision, and that in such event, no Shares shall be placed pursuant to such Issuance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1375410</wp:posOffset>
            </wp:positionH>
            <wp:positionV relativeFrom="paragraph">
              <wp:posOffset>-172720</wp:posOffset>
            </wp:positionV>
            <wp:extent cx="7264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ind w:left="1300" w:hanging="66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Each issuance of Shares will be settled on the applicable Settlement Date, pursuant to which:</w:t>
      </w:r>
    </w:p>
    <w:p>
      <w:pPr>
        <w:spacing w:after="0" w:line="225" w:lineRule="exact"/>
        <w:rPr>
          <w:rFonts w:ascii="Times New Roman" w:cs="Times New Roman" w:eastAsia="Times New Roman" w:hAnsi="Times New Roman"/>
          <w:sz w:val="18"/>
          <w:szCs w:val="18"/>
          <w:color w:val="auto"/>
        </w:rPr>
      </w:pPr>
    </w:p>
    <w:p>
      <w:pPr>
        <w:ind w:left="440" w:right="80" w:firstLine="455"/>
        <w:spacing w:after="0" w:line="261" w:lineRule="auto"/>
        <w:tabs>
          <w:tab w:leader="none" w:pos="118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for Shares</w:t>
      </w:r>
      <w:r>
        <w:rPr>
          <w:rFonts w:ascii="Times New Roman" w:cs="Times New Roman" w:eastAsia="Times New Roman" w:hAnsi="Times New Roman"/>
          <w:sz w:val="18"/>
          <w:szCs w:val="18"/>
          <w:color w:val="auto"/>
        </w:rPr>
        <w:t>. The Issuance Amount shall be paid by the Agent in U.S. dollars at or prior to 4:00 p.m. (Paris, France time) on the date prior to the Settlement Date to the applicable account designated by the Company in the Issuance Notice, which account shall be held at Société Générale Securities Services, as transfer agent and registrar of the Company, or such other transfer agent and registrar as the Company may specify in a Issuance Notice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40" w:right="100" w:firstLine="455"/>
        <w:spacing w:after="0" w:line="256" w:lineRule="auto"/>
        <w:tabs>
          <w:tab w:leader="none" w:pos="117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Shares</w:t>
      </w:r>
      <w:r>
        <w:rPr>
          <w:rFonts w:ascii="Times New Roman" w:cs="Times New Roman" w:eastAsia="Times New Roman" w:hAnsi="Times New Roman"/>
          <w:sz w:val="18"/>
          <w:szCs w:val="18"/>
          <w:color w:val="auto"/>
        </w:rPr>
        <w:t>. No later than 11:00 am (Paris, France time) on a Settlement Date, the Registrar shall then issue a depositary certificate (</w:t>
      </w:r>
      <w:r>
        <w:rPr>
          <w:rFonts w:ascii="Times New Roman" w:cs="Times New Roman" w:eastAsia="Times New Roman" w:hAnsi="Times New Roman"/>
          <w:sz w:val="18"/>
          <w:szCs w:val="18"/>
          <w:i w:val="1"/>
          <w:iCs w:val="1"/>
          <w:color w:val="auto"/>
        </w:rPr>
        <w:t>certificat du dépositaire</w:t>
      </w:r>
      <w:r>
        <w:rPr>
          <w:rFonts w:ascii="Times New Roman" w:cs="Times New Roman" w:eastAsia="Times New Roman" w:hAnsi="Times New Roman"/>
          <w:sz w:val="18"/>
          <w:szCs w:val="18"/>
          <w:color w:val="auto"/>
        </w:rPr>
        <w:t xml:space="preserve">) in accordance with Article L. 225-146 of the French Commercial Code, relating to the capital increase of the Company resulting from the issuance of the Underlying Common Shares, and shall deliver two originals of such certificate to the Company. At least one full business day prior to a Settlement Date, the Company shall have taken all actions to be taken by the Company, including providing the Registrar with all notices (including the </w:t>
      </w:r>
      <w:r>
        <w:rPr>
          <w:rFonts w:ascii="Times New Roman" w:cs="Times New Roman" w:eastAsia="Times New Roman" w:hAnsi="Times New Roman"/>
          <w:sz w:val="18"/>
          <w:szCs w:val="18"/>
          <w:i w:val="1"/>
          <w:iCs w:val="1"/>
          <w:color w:val="auto"/>
        </w:rPr>
        <w:t>Euronext</w:t>
      </w:r>
      <w:r>
        <w:rPr>
          <w:rFonts w:ascii="Times New Roman" w:cs="Times New Roman" w:eastAsia="Times New Roman" w:hAnsi="Times New Roman"/>
          <w:sz w:val="18"/>
          <w:szCs w:val="18"/>
          <w:color w:val="auto"/>
        </w:rPr>
        <w:t xml:space="preserve"> notice) and the Issuance Decision delivered as provided for by </w:t>
      </w:r>
      <w:r>
        <w:rPr>
          <w:rFonts w:ascii="Times New Roman" w:cs="Times New Roman" w:eastAsia="Times New Roman" w:hAnsi="Times New Roman"/>
          <w:sz w:val="18"/>
          <w:szCs w:val="18"/>
          <w:u w:val="single" w:color="auto"/>
          <w:color w:val="auto"/>
        </w:rPr>
        <w:t>Section 3(b)(v)</w:t>
      </w:r>
      <w:r>
        <w:rPr>
          <w:rFonts w:ascii="Times New Roman" w:cs="Times New Roman" w:eastAsia="Times New Roman" w:hAnsi="Times New Roman"/>
          <w:sz w:val="18"/>
          <w:szCs w:val="18"/>
          <w:color w:val="auto"/>
        </w:rPr>
        <w:t xml:space="preserve"> that are required in connection with the issuance of the </w:t>
      </w:r>
      <w:r>
        <w:rPr>
          <w:rFonts w:ascii="Times New Roman" w:cs="Times New Roman" w:eastAsia="Times New Roman" w:hAnsi="Times New Roman"/>
          <w:sz w:val="18"/>
          <w:szCs w:val="18"/>
          <w:i w:val="1"/>
          <w:iCs w:val="1"/>
          <w:color w:val="auto"/>
        </w:rPr>
        <w:t>certificat du dépositaire</w:t>
      </w:r>
      <w:r>
        <w:rPr>
          <w:rFonts w:ascii="Times New Roman" w:cs="Times New Roman" w:eastAsia="Times New Roman" w:hAnsi="Times New Roman"/>
          <w:sz w:val="18"/>
          <w:szCs w:val="18"/>
          <w:color w:val="auto"/>
        </w:rPr>
        <w:t xml:space="preserve"> referred herein.</w:t>
      </w:r>
    </w:p>
    <w:p>
      <w:pPr>
        <w:spacing w:after="0" w:line="185" w:lineRule="exact"/>
        <w:rPr>
          <w:rFonts w:ascii="Times New Roman" w:cs="Times New Roman" w:eastAsia="Times New Roman" w:hAnsi="Times New Roman"/>
          <w:sz w:val="18"/>
          <w:szCs w:val="18"/>
          <w:color w:val="auto"/>
        </w:rPr>
      </w:pPr>
    </w:p>
    <w:p>
      <w:pPr>
        <w:ind w:left="440" w:right="100" w:firstLine="455"/>
        <w:spacing w:after="0" w:line="255" w:lineRule="auto"/>
        <w:tabs>
          <w:tab w:leader="none" w:pos="117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Shares</w:t>
      </w:r>
      <w:r>
        <w:rPr>
          <w:rFonts w:ascii="Times New Roman" w:cs="Times New Roman" w:eastAsia="Times New Roman" w:hAnsi="Times New Roman"/>
          <w:sz w:val="18"/>
          <w:szCs w:val="18"/>
          <w:color w:val="auto"/>
        </w:rPr>
        <w:t xml:space="preserve">. On each Settlement Date, immediately after issuing the </w:t>
      </w:r>
      <w:r>
        <w:rPr>
          <w:rFonts w:ascii="Times New Roman" w:cs="Times New Roman" w:eastAsia="Times New Roman" w:hAnsi="Times New Roman"/>
          <w:sz w:val="18"/>
          <w:szCs w:val="18"/>
          <w:i w:val="1"/>
          <w:iCs w:val="1"/>
          <w:color w:val="auto"/>
        </w:rPr>
        <w:t>certificat du dépositaire</w:t>
      </w:r>
      <w:r>
        <w:rPr>
          <w:rFonts w:ascii="Times New Roman" w:cs="Times New Roman" w:eastAsia="Times New Roman" w:hAnsi="Times New Roman"/>
          <w:sz w:val="18"/>
          <w:szCs w:val="18"/>
          <w:color w:val="auto"/>
        </w:rPr>
        <w:t xml:space="preserve">, (i) the Registrar shall (x) send to Euroclear France, in the name and on behalf of the Company, a </w:t>
      </w:r>
      <w:r>
        <w:rPr>
          <w:rFonts w:ascii="Times New Roman" w:cs="Times New Roman" w:eastAsia="Times New Roman" w:hAnsi="Times New Roman"/>
          <w:sz w:val="18"/>
          <w:szCs w:val="18"/>
          <w:i w:val="1"/>
          <w:iCs w:val="1"/>
          <w:color w:val="auto"/>
        </w:rPr>
        <w:t>lettre comptable</w:t>
      </w:r>
      <w:r>
        <w:rPr>
          <w:rFonts w:ascii="Times New Roman" w:cs="Times New Roman" w:eastAsia="Times New Roman" w:hAnsi="Times New Roman"/>
          <w:sz w:val="18"/>
          <w:szCs w:val="18"/>
          <w:color w:val="auto"/>
        </w:rPr>
        <w:t xml:space="preserve"> for the creation of the Underlying Common Shares for the Shares and for credit thereof no later than on the Settlement Date in a securities account opened in the name and on behalf of the Company in the books of the Registrar; and (y) deliver the Underlying Common Shares for the Shares to the custodian for the Depositary, and (ii) the Company will cause the Depositary to, electronically transfer the Shares by crediting the Agent or its designee’s account (provided the Agent shall have given the Company written notice of such designee at least one business day prior to the Settlement Date) at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through its Deposit and Withdrawal at Custodian (DWAC) System or by such other means of delivery as may be mutually agreed upon by the parties hereto, which Shares in all cases shall be freely tradeable, transferable, registered securities in good deliverable form.</w:t>
      </w:r>
    </w:p>
    <w:p>
      <w:pPr>
        <w:spacing w:after="0" w:line="186" w:lineRule="exact"/>
        <w:rPr>
          <w:rFonts w:ascii="Times New Roman" w:cs="Times New Roman" w:eastAsia="Times New Roman" w:hAnsi="Times New Roman"/>
          <w:sz w:val="18"/>
          <w:szCs w:val="18"/>
          <w:color w:val="auto"/>
        </w:rPr>
      </w:pPr>
    </w:p>
    <w:p>
      <w:pPr>
        <w:ind w:left="440" w:right="260" w:firstLine="455"/>
        <w:spacing w:after="0" w:line="258" w:lineRule="auto"/>
        <w:tabs>
          <w:tab w:leader="none" w:pos="118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Issuance Commission</w:t>
      </w:r>
      <w:r>
        <w:rPr>
          <w:rFonts w:ascii="Times New Roman" w:cs="Times New Roman" w:eastAsia="Times New Roman" w:hAnsi="Times New Roman"/>
          <w:sz w:val="18"/>
          <w:szCs w:val="18"/>
          <w:color w:val="auto"/>
        </w:rPr>
        <w:t xml:space="preserve">. On each Settlement Date, the Company shall pay, or cause the Registrar to pay, to the Agent the Issuance Commission due to the Agent in respect of the Issuance Amount of the Shares settled on such date in same day funds to the account designated by the Agent. The aforementioned Issuance Commission shall be deducted from the gross proceeds payable to the Company on a Settlement Date and shall be paid on such date by the Registrar to the Agent as soon as possible after issuance of the </w:t>
      </w:r>
      <w:r>
        <w:rPr>
          <w:rFonts w:ascii="Times New Roman" w:cs="Times New Roman" w:eastAsia="Times New Roman" w:hAnsi="Times New Roman"/>
          <w:sz w:val="18"/>
          <w:szCs w:val="18"/>
          <w:i w:val="1"/>
          <w:iCs w:val="1"/>
          <w:color w:val="auto"/>
        </w:rPr>
        <w:t>certificat du dépositaire</w:t>
      </w:r>
      <w:r>
        <w:rPr>
          <w:rFonts w:ascii="Times New Roman" w:cs="Times New Roman" w:eastAsia="Times New Roman" w:hAnsi="Times New Roman"/>
          <w:sz w:val="18"/>
          <w:szCs w:val="18"/>
          <w:color w:val="auto"/>
        </w:rPr>
        <w:t>. The Company irrevocably agrees to such transfer.</w:t>
      </w:r>
    </w:p>
    <w:p>
      <w:pPr>
        <w:spacing w:after="0" w:line="183" w:lineRule="exact"/>
        <w:rPr>
          <w:rFonts w:ascii="Times New Roman" w:cs="Times New Roman" w:eastAsia="Times New Roman" w:hAnsi="Times New Roman"/>
          <w:sz w:val="18"/>
          <w:szCs w:val="18"/>
          <w:color w:val="auto"/>
        </w:rPr>
      </w:pPr>
    </w:p>
    <w:p>
      <w:pPr>
        <w:jc w:val="both"/>
        <w:ind w:left="-20" w:firstLine="656"/>
        <w:spacing w:after="0" w:line="253" w:lineRule="auto"/>
        <w:tabs>
          <w:tab w:leader="none" w:pos="118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or Termination of Sales</w:t>
      </w:r>
      <w:r>
        <w:rPr>
          <w:rFonts w:ascii="Times New Roman" w:cs="Times New Roman" w:eastAsia="Times New Roman" w:hAnsi="Times New Roman"/>
          <w:sz w:val="18"/>
          <w:szCs w:val="18"/>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Times New Roman" w:cs="Times New Roman" w:eastAsia="Times New Roman" w:hAnsi="Times New Roman"/>
          <w:sz w:val="18"/>
          <w:szCs w:val="18"/>
          <w:u w:val="single" w:color="auto"/>
          <w:color w:val="auto"/>
        </w:rPr>
        <w:t>Section 3(b)(vii)</w:t>
      </w:r>
      <w:r>
        <w:rPr>
          <w:rFonts w:ascii="Times New Roman" w:cs="Times New Roman" w:eastAsia="Times New Roman" w:hAnsi="Times New Roman"/>
          <w:sz w:val="18"/>
          <w:szCs w:val="18"/>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and documented legal fees and expenses), as incurred, arising out of or in connection with such default by the Company. The parties hereto acknowledge and agree that, in performing its obligations under this Agreement, the Agent may borrow ADSs from stock lenders in the event that the Company has not delivered Shares to settle sales as required by subsection (vii) above, and may use the Shares to settle or close out such borrowings. The Company agrees that no such notice shall be effective against the Agent unless it is made to the persons identified in writing by the Agent pursuant to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30" w:name="page31"/>
    <w:bookmarkEnd w:id="30"/>
    <w:p>
      <w:pPr>
        <w:jc w:val="both"/>
        <w:ind w:firstLine="656"/>
        <w:spacing w:after="0" w:line="261" w:lineRule="auto"/>
        <w:tabs>
          <w:tab w:leader="none" w:pos="150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Placement, Etc.</w:t>
      </w:r>
      <w:r>
        <w:rPr>
          <w:rFonts w:ascii="Times New Roman" w:cs="Times New Roman" w:eastAsia="Times New Roman" w:hAnsi="Times New Roman"/>
          <w:sz w:val="18"/>
          <w:szCs w:val="18"/>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42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Non-Public Information.</w:t>
      </w:r>
      <w:r>
        <w:rPr>
          <w:rFonts w:ascii="Times New Roman" w:cs="Times New Roman" w:eastAsia="Times New Roman" w:hAnsi="Times New Roman"/>
          <w:sz w:val="18"/>
          <w:szCs w:val="18"/>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76" w:lineRule="exact"/>
        <w:rPr>
          <w:sz w:val="20"/>
          <w:szCs w:val="20"/>
          <w:color w:val="auto"/>
        </w:rPr>
      </w:pPr>
    </w:p>
    <w:p>
      <w:pPr>
        <w:jc w:val="both"/>
        <w:ind w:firstLine="656"/>
        <w:spacing w:after="0" w:line="258" w:lineRule="auto"/>
        <w:tabs>
          <w:tab w:leader="none" w:pos="148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As compensation for services rendered, the Company shall pay or cause the Registrar to pay to the Agent, on the applicable Settlement Date, the Selling Commission for the applicable Issuance Amount (including with respect to any suspended or terminated sale pursuant to </w:t>
      </w:r>
      <w:r>
        <w:rPr>
          <w:rFonts w:ascii="Times New Roman" w:cs="Times New Roman" w:eastAsia="Times New Roman" w:hAnsi="Times New Roman"/>
          <w:sz w:val="18"/>
          <w:szCs w:val="18"/>
          <w:u w:val="single" w:color="auto"/>
          <w:color w:val="auto"/>
        </w:rPr>
        <w:t>Section 3(b)(vi) after the Agent confirms such sale to the Company)</w:t>
      </w:r>
      <w:r>
        <w:rPr>
          <w:rFonts w:ascii="Times New Roman" w:cs="Times New Roman" w:eastAsia="Times New Roman" w:hAnsi="Times New Roman"/>
          <w:sz w:val="18"/>
          <w:szCs w:val="18"/>
          <w:color w:val="auto"/>
        </w:rPr>
        <w:t xml:space="preserve"> by the Agent. The aforementioned Selling Commission shall be deducted from the gross proceeds payable to the Company on a Settlement Date and shall be paid on such date by the Registrar to the Agent as soon as possible after issuance of the </w:t>
      </w:r>
      <w:r>
        <w:rPr>
          <w:rFonts w:ascii="Times New Roman" w:cs="Times New Roman" w:eastAsia="Times New Roman" w:hAnsi="Times New Roman"/>
          <w:sz w:val="18"/>
          <w:szCs w:val="18"/>
          <w:i w:val="1"/>
          <w:iCs w:val="1"/>
          <w:color w:val="auto"/>
        </w:rPr>
        <w:t>certificat du dépositaire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151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and, if requested by the Agent, preparing and printing a “</w:t>
      </w:r>
      <w:r>
        <w:rPr>
          <w:rFonts w:ascii="Times New Roman" w:cs="Times New Roman" w:eastAsia="Times New Roman" w:hAnsi="Times New Roman"/>
          <w:sz w:val="18"/>
          <w:szCs w:val="18"/>
          <w:b w:val="1"/>
          <w:bCs w:val="1"/>
          <w:color w:val="auto"/>
        </w:rPr>
        <w:t>Blue Sky Survey</w:t>
      </w:r>
      <w:r>
        <w:rPr>
          <w:rFonts w:ascii="Times New Roman" w:cs="Times New Roman" w:eastAsia="Times New Roman" w:hAnsi="Times New Roman"/>
          <w:sz w:val="18"/>
          <w:szCs w:val="18"/>
          <w:color w:val="auto"/>
        </w:rPr>
        <w:t xml:space="preserve">” or memorandum, and any supplements thereto,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and (ix) the fees and expenses associated with listing the Shares on the Principal Market. The fees and disbursements of Agent’s counsel pursuant to subsections (vi) and (vii) above shall not exceed (A) $150,000 in connection with the execution of this Agreement and (B) $15,000 in connection with each Triggering Event Date (as defined below) on which the Company is required to provide a certificate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Section 4. ADDITIONAL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covenants and agrees with the Agent as follows, in addition to any other covenants and agreements made elsewhere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both"/>
        <w:ind w:firstLine="656"/>
        <w:spacing w:after="0" w:line="253" w:lineRule="auto"/>
        <w:tabs>
          <w:tab w:leader="none" w:pos="131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Compliance</w:t>
      </w:r>
      <w:r>
        <w:rPr>
          <w:rFonts w:ascii="Times New Roman" w:cs="Times New Roman" w:eastAsia="Times New Roman" w:hAnsi="Times New Roman"/>
          <w:sz w:val="18"/>
          <w:szCs w:val="18"/>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each report filed or furnished by the Company on Form 6-K that includes the Company’s half-year and full-year interim financial statements and its annual reports on Form 20-F, a summary detailing, for the relevant reporting period, (1) the number of Shares sold through the Agent pursuant to this Agreement and (2) the net proceeds received by the Company from such sales or, in the Company’s sole discretion (B) prepare a prospectus supplement containing, or include in such other filing permitted by the Securities Act or Exchange Act (each an “</w:t>
      </w:r>
      <w:r>
        <w:rPr>
          <w:rFonts w:ascii="Times New Roman" w:cs="Times New Roman" w:eastAsia="Times New Roman" w:hAnsi="Times New Roman"/>
          <w:sz w:val="18"/>
          <w:szCs w:val="18"/>
          <w:b w:val="1"/>
          <w:bCs w:val="1"/>
          <w:color w:val="auto"/>
        </w:rPr>
        <w:t>Interim Prospectus</w:t>
      </w:r>
    </w:p>
    <w:p>
      <w:pPr>
        <w:spacing w:after="0" w:line="5"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such summary information and, at least once a quarter and subject to this Section‎ 4, file such Interim Prospectus Supplement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424(b) under the Securities Act (and within the time periods required by Rule 424(b) and Rule 430B under the Securities Act).</w:t>
      </w:r>
    </w:p>
    <w:p>
      <w:pPr>
        <w:spacing w:after="0" w:line="181" w:lineRule="exact"/>
        <w:rPr>
          <w:rFonts w:ascii="Times New Roman" w:cs="Times New Roman" w:eastAsia="Times New Roman" w:hAnsi="Times New Roman"/>
          <w:sz w:val="18"/>
          <w:szCs w:val="18"/>
          <w:color w:val="auto"/>
        </w:rPr>
      </w:pPr>
    </w:p>
    <w:p>
      <w:pPr>
        <w:jc w:val="both"/>
        <w:ind w:firstLine="656"/>
        <w:spacing w:after="0" w:line="253" w:lineRule="auto"/>
        <w:tabs>
          <w:tab w:leader="none" w:pos="127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Compliance</w:t>
      </w:r>
      <w:r>
        <w:rPr>
          <w:rFonts w:ascii="Times New Roman" w:cs="Times New Roman" w:eastAsia="Times New Roman" w:hAnsi="Times New Roman"/>
          <w:sz w:val="18"/>
          <w:szCs w:val="18"/>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the ADS Registration Statement, any Rule 462(b) Registration Statement or any amendment or supplement to the Prospectus, or any Free Writing Prospectus; (iii) of the time and date that any post-effective amendment to the Registration Statement, the ADS Registration Statement or any Rule 462(b) Registration Statement becomes effective; and (iv) of the issuance by the Commission of any stop order suspending the effectiveness of the Registration Statement, the ADS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ADSs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reasonably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4192270</wp:posOffset>
            </wp:positionH>
            <wp:positionV relativeFrom="paragraph">
              <wp:posOffset>-2089150</wp:posOffset>
            </wp:positionV>
            <wp:extent cx="4286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2" w:name="page33"/>
    <w:bookmarkEnd w:id="32"/>
    <w:p>
      <w:pPr>
        <w:jc w:val="both"/>
        <w:ind w:firstLine="656"/>
        <w:spacing w:after="0" w:line="253" w:lineRule="auto"/>
        <w:tabs>
          <w:tab w:leader="none" w:pos="133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Supplements to the Prospectus and Other Securities Act Matters</w:t>
      </w:r>
      <w:r>
        <w:rPr>
          <w:rFonts w:ascii="Times New Roman" w:cs="Times New Roman" w:eastAsia="Times New Roman" w:hAnsi="Times New Roman"/>
          <w:sz w:val="18"/>
          <w:szCs w:val="18"/>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 4(d) and Section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 Notwithstanding the foregoing, the Company shall not be required to file such amendment or supplement if there is no pending Issuance Notice and the Company reasonably believes that it is in its best interest not to file such amendment or supplement.</w:t>
      </w:r>
    </w:p>
    <w:p>
      <w:pPr>
        <w:spacing w:after="0" w:line="189" w:lineRule="exact"/>
        <w:rPr>
          <w:rFonts w:ascii="Times New Roman" w:cs="Times New Roman" w:eastAsia="Times New Roman" w:hAnsi="Times New Roman"/>
          <w:sz w:val="18"/>
          <w:szCs w:val="18"/>
          <w:color w:val="auto"/>
        </w:rPr>
      </w:pPr>
    </w:p>
    <w:p>
      <w:pPr>
        <w:jc w:val="both"/>
        <w:ind w:firstLine="656"/>
        <w:spacing w:after="0" w:line="256" w:lineRule="auto"/>
        <w:tabs>
          <w:tab w:leader="none" w:pos="133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Review of Proposed Amendments and Supplements</w:t>
      </w:r>
      <w:r>
        <w:rPr>
          <w:rFonts w:ascii="Times New Roman" w:cs="Times New Roman" w:eastAsia="Times New Roman" w:hAnsi="Times New Roman"/>
          <w:sz w:val="18"/>
          <w:szCs w:val="18"/>
          <w:color w:val="auto"/>
        </w:rPr>
        <w:t>. Prior to amending or supplementing the Registration Statement (including any registration statement filed under Rule 462(b) under the Securities Act), the ADS Registration Statement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and to file with the Commission within the applicable period specified in Rule 424(b) under the Securities Act any prospectus required to be filed pursuant to such Rule.</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33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Free Writing Prospectus</w:t>
      </w:r>
      <w:r>
        <w:rPr>
          <w:rFonts w:ascii="Times New Roman" w:cs="Times New Roman" w:eastAsia="Times New Roman" w:hAnsi="Times New Roman"/>
          <w:sz w:val="18"/>
          <w:szCs w:val="18"/>
          <w:color w:val="auto"/>
        </w:rPr>
        <w:t xml:space="preserve">. Neither the Company nor the Agent has prepared, used, referred to or distributed, or will prepare, use, refer to or distribute, without the other party’s prior written consent, any “written communication”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constitutes a “free writing prospectus” as such terms are defined in Rule 405 under the Securities Act with respect to the offering contemplated by this Agreement (any such free writing prospectus being referred to herein as a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jc w:val="both"/>
        <w:ind w:firstLine="656"/>
        <w:spacing w:after="0" w:line="252" w:lineRule="auto"/>
        <w:tabs>
          <w:tab w:leader="none" w:pos="129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 Writing Prospectuses</w:t>
      </w:r>
      <w:r>
        <w:rPr>
          <w:rFonts w:ascii="Times New Roman" w:cs="Times New Roman" w:eastAsia="Times New Roman" w:hAnsi="Times New Roman"/>
          <w:sz w:val="18"/>
          <w:szCs w:val="18"/>
          <w:color w:val="auto"/>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which shall not be unreasonably withheld, conditioned or delayed.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which shall not be unreasonably withheld, conditioned or delayed.</w:t>
      </w:r>
    </w:p>
    <w:p>
      <w:pPr>
        <w:spacing w:after="0" w:line="193" w:lineRule="exact"/>
        <w:rPr>
          <w:rFonts w:ascii="Times New Roman" w:cs="Times New Roman" w:eastAsia="Times New Roman" w:hAnsi="Times New Roman"/>
          <w:sz w:val="18"/>
          <w:szCs w:val="18"/>
          <w:color w:val="auto"/>
        </w:rPr>
      </w:pPr>
    </w:p>
    <w:p>
      <w:pPr>
        <w:jc w:val="both"/>
        <w:ind w:firstLine="656"/>
        <w:spacing w:after="0" w:line="266" w:lineRule="auto"/>
        <w:tabs>
          <w:tab w:leader="none" w:pos="13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Agent Free Writing Prospectuses</w:t>
      </w:r>
      <w:r>
        <w:rPr>
          <w:rFonts w:ascii="Times New Roman" w:cs="Times New Roman" w:eastAsia="Times New Roman" w:hAnsi="Times New Roman"/>
          <w:sz w:val="18"/>
          <w:szCs w:val="18"/>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136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Copies of Registration Statement and Prospectus</w:t>
      </w:r>
      <w:r>
        <w:rPr>
          <w:rFonts w:ascii="Times New Roman" w:cs="Times New Roman" w:eastAsia="Times New Roman" w:hAnsi="Times New Roman"/>
          <w:sz w:val="18"/>
          <w:szCs w:val="18"/>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the ADS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the ADS Registration Statement or the Prospectus as then amended or supplemented, to advise the Agent promptly by telephone (with confirmation in writing) and to prepare and cause to be filed promptly with the Commission an amendment or supplement to the Registration Statement, the ADS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both"/>
        <w:ind w:firstLine="656"/>
        <w:spacing w:after="0" w:line="266" w:lineRule="auto"/>
        <w:tabs>
          <w:tab w:leader="none" w:pos="140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During the Agency Period, the Company agrees to publish, by way of press release or, by any other means, in compliance with European and French laws and regulations including the Regulation No 596/2014 of April 16, 2014 on market abuse, as amended, and the AMF general regulations, any information which would be required due to the existence of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36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Compliance</w:t>
      </w:r>
      <w:r>
        <w:rPr>
          <w:rFonts w:ascii="Times New Roman" w:cs="Times New Roman" w:eastAsia="Times New Roman" w:hAnsi="Times New Roman"/>
          <w:sz w:val="18"/>
          <w:szCs w:val="18"/>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reasonably practicable.</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48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 which requirement may be satisfied by publicly filing the required information on EDGAR.</w:t>
      </w:r>
    </w:p>
    <w:p>
      <w:pPr>
        <w:spacing w:after="0" w:line="17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Reservation of Shares</w:t>
      </w:r>
      <w:r>
        <w:rPr>
          <w:rFonts w:ascii="Times New Roman" w:cs="Times New Roman" w:eastAsia="Times New Roman" w:hAnsi="Times New Roman"/>
          <w:sz w:val="18"/>
          <w:szCs w:val="18"/>
          <w:color w:val="auto"/>
        </w:rPr>
        <w:t>. (a) The Company will use its best efforts to maintain the listing of the ADSs on the Principal Market; and</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27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reserve and keep available at all times, free of preemptive rights, Shares for the purpose of enabling the Company to satisfy its obligations under this Agreement.</w:t>
      </w:r>
    </w:p>
    <w:p>
      <w:pPr>
        <w:spacing w:after="0" w:line="18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shall engage and maintain, at its expense, a registrar and transfer agent for the Shares.</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1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w:t>
      </w:r>
      <w:r>
        <w:rPr>
          <w:rFonts w:ascii="Times New Roman" w:cs="Times New Roman" w:eastAsia="Times New Roman" w:hAnsi="Times New Roman"/>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jc w:val="both"/>
        <w:ind w:firstLine="656"/>
        <w:spacing w:after="0" w:line="255" w:lineRule="auto"/>
        <w:tabs>
          <w:tab w:leader="none" w:pos="136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w:t>
      </w:r>
    </w:p>
    <w:p>
      <w:pPr>
        <w:spacing w:after="0" w:line="2" w:lineRule="exact"/>
        <w:rPr>
          <w:rFonts w:ascii="Times New Roman" w:cs="Times New Roman" w:eastAsia="Times New Roman" w:hAnsi="Times New Roman"/>
          <w:sz w:val="18"/>
          <w:szCs w:val="18"/>
          <w:color w:val="auto"/>
        </w:rPr>
      </w:pPr>
    </w:p>
    <w:p>
      <w:pPr>
        <w:jc w:val="both"/>
        <w:ind w:firstLine="8"/>
        <w:spacing w:after="0" w:line="255" w:lineRule="auto"/>
        <w:tabs>
          <w:tab w:leader="none" w:pos="2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the ADS Registration Statement and the Prospectus as amended and supplemented relating to such Shares).</w:t>
      </w:r>
    </w:p>
    <w:p>
      <w:pPr>
        <w:spacing w:after="0" w:line="185" w:lineRule="exact"/>
        <w:rPr>
          <w:rFonts w:ascii="Times New Roman" w:cs="Times New Roman" w:eastAsia="Times New Roman" w:hAnsi="Times New Roman"/>
          <w:sz w:val="18"/>
          <w:szCs w:val="18"/>
          <w:color w:val="auto"/>
        </w:rPr>
      </w:pPr>
    </w:p>
    <w:p>
      <w:pPr>
        <w:ind w:firstLine="656"/>
        <w:spacing w:after="0" w:line="282" w:lineRule="auto"/>
        <w:tabs>
          <w:tab w:leader="none" w:pos="140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Deliverables at Triggering Event Dates; Certificates.</w:t>
      </w:r>
      <w:r>
        <w:rPr>
          <w:rFonts w:ascii="Times New Roman" w:cs="Times New Roman" w:eastAsia="Times New Roman" w:hAnsi="Times New Roman"/>
          <w:sz w:val="18"/>
          <w:szCs w:val="18"/>
          <w:color w:val="auto"/>
        </w:rPr>
        <w:t xml:space="preserve"> The Company agrees that on or prior to the date of the first Issuance Notice and, during the term of this Agreement after the date of the first Issuance Notice, upon:</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6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the Prospectus or the amendment or supplement (other than any amendment or supplement through incorporation of any report filed under the Exchange Act)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84"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with the Commission of an annual report on Form 20-F or a report on Form 6-K containing half-year financial information (including any Form 20-F/A or Form 6-K/A containing amended financial information or a material amendment to the previously filed annual report on Form 20-F or six-month reports on Form 6-K), in each case, of the Company; or</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149"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with the Commission of a report on Form 6-K of the Company containing amended financial information that is material to the offering of securities of the Company in the Agent’s reasonable discretion;</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such event, a “</w:t>
      </w:r>
      <w:r>
        <w:rPr>
          <w:rFonts w:ascii="Times New Roman" w:cs="Times New Roman" w:eastAsia="Times New Roman" w:hAnsi="Times New Roman"/>
          <w:sz w:val="18"/>
          <w:szCs w:val="18"/>
          <w:b w:val="1"/>
          <w:bCs w:val="1"/>
          <w:color w:val="auto"/>
        </w:rPr>
        <w:t>Triggering Event Date</w:t>
      </w:r>
      <w:r>
        <w:rPr>
          <w:rFonts w:ascii="Times New Roman" w:cs="Times New Roman" w:eastAsia="Times New Roman" w:hAnsi="Times New Roman"/>
          <w:sz w:val="18"/>
          <w:szCs w:val="18"/>
          <w:color w:val="auto"/>
        </w:rPr>
        <w:t xml:space="preserve">”), the Company shall furnish the Agent (but in the case of clause (C) above only if the Agent reasonably determines that the information contained in such report on Form 6-K of the Company is material) with a certificate in the form set forth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Times New Roman" w:cs="Times New Roman" w:eastAsia="Times New Roman" w:hAnsi="Times New Roman"/>
          <w:sz w:val="18"/>
          <w:szCs w:val="18"/>
          <w:u w:val="single" w:color="auto"/>
          <w:color w:val="auto"/>
        </w:rPr>
        <w:t>Section 5(a)(iii)</w:t>
      </w:r>
      <w:r>
        <w:rPr>
          <w:rFonts w:ascii="Times New Roman" w:cs="Times New Roman" w:eastAsia="Times New Roman" w:hAnsi="Times New Roman"/>
          <w:sz w:val="18"/>
          <w:szCs w:val="18"/>
          <w:color w:val="auto"/>
        </w:rPr>
        <w:t xml:space="preserve"> hereof, and (C) containing any other certification that the Agent shall reasonably request. The requirement to provide a certificate under this </w:t>
      </w:r>
      <w:r>
        <w:rPr>
          <w:rFonts w:ascii="Times New Roman" w:cs="Times New Roman" w:eastAsia="Times New Roman" w:hAnsi="Times New Roman"/>
          <w:sz w:val="18"/>
          <w:szCs w:val="18"/>
          <w:u w:val="single" w:color="auto"/>
          <w:color w:val="auto"/>
        </w:rPr>
        <w:t>Section 4(p)</w:t>
      </w:r>
      <w:r>
        <w:rPr>
          <w:rFonts w:ascii="Times New Roman" w:cs="Times New Roman" w:eastAsia="Times New Roman" w:hAnsi="Times New Roman"/>
          <w:sz w:val="18"/>
          <w:szCs w:val="18"/>
          <w:color w:val="auto"/>
        </w:rPr>
        <w:t xml:space="preserve"> shall be automatically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for which an Issuance Notice is pending or a suspension is not in effect. Notwithstanding the foregoing, if the Company subsequently decides to sell Shares following a Triggering Event Date when a suspension was in effect and did not provide the Agent with a certificate under this </w:t>
      </w:r>
      <w:r>
        <w:rPr>
          <w:rFonts w:ascii="Times New Roman" w:cs="Times New Roman" w:eastAsia="Times New Roman" w:hAnsi="Times New Roman"/>
          <w:sz w:val="18"/>
          <w:szCs w:val="18"/>
          <w:u w:val="single" w:color="auto"/>
          <w:color w:val="auto"/>
        </w:rPr>
        <w:t>Section 4(p)</w:t>
      </w:r>
      <w:r>
        <w:rPr>
          <w:rFonts w:ascii="Times New Roman" w:cs="Times New Roman" w:eastAsia="Times New Roman" w:hAnsi="Times New Roman"/>
          <w:sz w:val="18"/>
          <w:szCs w:val="18"/>
          <w:color w:val="auto"/>
        </w:rPr>
        <w:t xml:space="preserve">, then before the Company delivers the instructions for the sale of Shares or the Agent sells any Shares pursuant to such instructions, the Company shall provide the Agent with a certificate in conformity with this </w:t>
      </w:r>
      <w:r>
        <w:rPr>
          <w:rFonts w:ascii="Times New Roman" w:cs="Times New Roman" w:eastAsia="Times New Roman" w:hAnsi="Times New Roman"/>
          <w:sz w:val="18"/>
          <w:szCs w:val="18"/>
          <w:u w:val="single" w:color="auto"/>
          <w:color w:val="auto"/>
        </w:rPr>
        <w:t>Section 4(p)</w:t>
      </w:r>
      <w:r>
        <w:rPr>
          <w:rFonts w:ascii="Times New Roman" w:cs="Times New Roman" w:eastAsia="Times New Roman" w:hAnsi="Times New Roman"/>
          <w:sz w:val="18"/>
          <w:szCs w:val="18"/>
          <w:color w:val="auto"/>
        </w:rPr>
        <w:t xml:space="preserve"> dated as of the date that the instructions for the sale of Shares are issued.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jc w:val="both"/>
        <w:ind w:firstLine="656"/>
        <w:spacing w:after="0" w:line="252" w:lineRule="auto"/>
        <w:tabs>
          <w:tab w:leader="none" w:pos="136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xml:space="preserve"> On or prior to the date of the first Issuance Notice and on or prior to each Triggering Event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4(p)</w:t>
      </w:r>
      <w:r>
        <w:rPr>
          <w:rFonts w:ascii="Times New Roman" w:cs="Times New Roman" w:eastAsia="Times New Roman" w:hAnsi="Times New Roman"/>
          <w:sz w:val="18"/>
          <w:szCs w:val="18"/>
          <w:color w:val="auto"/>
        </w:rPr>
        <w:t xml:space="preserve"> for which no waiver is applicable and excluding the date of this Agreement, a negative assurances letter and the written legal opinion of Cooley LLP, as U.S. counsel to the Company, and the written legal opinion of Hogan Lovells (Paris) LLP, as French counsel to the Company, each dated the date of delivery, in form and substance reasonably satisfactory to Agent and its counsel, substantially similar to the form previously provided to the Agent and its counsel, modified, as necessary, to relate to the Registration Statement, the ADS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the ADS Registration Statement and the Prospectus as amended or supplemented as of such Triggering Event Date). Notwithstanding the foregoing, the Company shall be required to furnish no more than (i) one opinion letter per calendar year per counsel hereunder and</w:t>
      </w:r>
    </w:p>
    <w:p>
      <w:pPr>
        <w:spacing w:after="0" w:line="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negative assurance letter (from Cooley LLP) per filing of any report pursuant to clause B of the definition of a Triggering Event Date.</w:t>
      </w:r>
    </w:p>
    <w:p>
      <w:pPr>
        <w:spacing w:after="0" w:line="206" w:lineRule="exact"/>
        <w:rPr>
          <w:rFonts w:ascii="Times New Roman" w:cs="Times New Roman" w:eastAsia="Times New Roman" w:hAnsi="Times New Roman"/>
          <w:sz w:val="18"/>
          <w:szCs w:val="18"/>
          <w:color w:val="auto"/>
        </w:rPr>
      </w:pPr>
    </w:p>
    <w:p>
      <w:pPr>
        <w:jc w:val="both"/>
        <w:ind w:firstLine="656"/>
        <w:spacing w:after="0" w:line="252" w:lineRule="auto"/>
        <w:tabs>
          <w:tab w:leader="none" w:pos="139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On or prior to the date of the first Issuance Notice and on or prior to each Triggering Event Date with respect to which the Company is obligated to deliver a certificate pursuant to Section 4(p) for which no waiver is applicable and excluding the date of this Agreement, the Company shall cause Deloitte &amp; Associés and PricewaterhouseCoopers Audit, the independent registered public accounting firms who have audited the financial statements included or incorporated by reference in the Registration Statement and the ADS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within five (5) Trading Dates of the date of the occurrence of any material transaction or event requiring the filing of a Form 6-K containing material amended financial information of the Company, including the restatement of the Company’s financial statements, which such event shall be considered a Triggering Event Date, and the Agent shall not be required to execute any new or pending Issuance Notice following such Triggering Event Date until the comfort letter is delivered. Notwithstanding the foregoing, other than in the event of a material amendment to the Company's financial information, including a restatement, the Company shall be required to furnish no more than one comfort letter hereunder per each filing of an annual report on Form 20-F or a report on Form 6-K containing half-year financial information.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7" w:name="page38"/>
    <w:bookmarkEnd w:id="37"/>
    <w:p>
      <w:pPr>
        <w:jc w:val="both"/>
        <w:ind w:left="-20" w:firstLine="656"/>
        <w:spacing w:after="0" w:line="255" w:lineRule="auto"/>
        <w:tabs>
          <w:tab w:leader="none" w:pos="126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On or prior to the date of the first Issuance Notice, the Company shall furnish the Agent a certificate executed by the Chief Executive Officer or Chief Financial Officer of the Company, signing in such capacity, dated the date of delivery (i) certifying that attached thereto are true and complete copies of the resolutions duly adopted by the Supervisory Board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w:t>
      </w:r>
      <w:r>
        <w:rPr>
          <w:rFonts w:ascii="Times New Roman" w:cs="Times New Roman" w:eastAsia="Times New Roman" w:hAnsi="Times New Roman"/>
          <w:sz w:val="18"/>
          <w:szCs w:val="18"/>
          <w:u w:val="single" w:color="auto"/>
          <w:color w:val="auto"/>
        </w:rPr>
        <w:t>this</w:t>
      </w:r>
      <w:r>
        <w:rPr>
          <w:rFonts w:ascii="Times New Roman" w:cs="Times New Roman" w:eastAsia="Times New Roman" w:hAnsi="Times New Roman"/>
          <w:sz w:val="18"/>
          <w:szCs w:val="18"/>
          <w:color w:val="auto"/>
        </w:rPr>
        <w:t xml:space="preserve"> Agreement for or on behalf of the Company, and (iii) containing any other certification that the Agent shall reasonably request.</w:t>
      </w:r>
    </w:p>
    <w:p>
      <w:pPr>
        <w:spacing w:after="0" w:line="188"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130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Upon delivery of each Issuance Notice, the Company will ensure that the Chief Executive Officer of the Company is duly authorized to decide on the issue of the Underlying Common Shares covered by the Issuance Notice subject to the conditions set forth therein and that any relevant preemption rights will have been disapplied in relation to the issue of those Underlying Common Shares. Upon each Settlement Date, the Underlying Common Shares to be allotted on that Settlement Date will be duly authorized by the Company.</w:t>
      </w:r>
    </w:p>
    <w:p>
      <w:pPr>
        <w:spacing w:after="0" w:line="179" w:lineRule="exact"/>
        <w:rPr>
          <w:rFonts w:ascii="Times New Roman" w:cs="Times New Roman" w:eastAsia="Times New Roman" w:hAnsi="Times New Roman"/>
          <w:sz w:val="18"/>
          <w:szCs w:val="18"/>
          <w:color w:val="auto"/>
        </w:rPr>
      </w:pPr>
    </w:p>
    <w:p>
      <w:pPr>
        <w:ind w:left="-20" w:firstLine="656"/>
        <w:spacing w:after="0" w:line="282" w:lineRule="auto"/>
        <w:tabs>
          <w:tab w:leader="none" w:pos="13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Own Account; Clients’ Account</w:t>
      </w:r>
      <w:r>
        <w:rPr>
          <w:rFonts w:ascii="Times New Roman" w:cs="Times New Roman" w:eastAsia="Times New Roman" w:hAnsi="Times New Roman"/>
          <w:sz w:val="18"/>
          <w:szCs w:val="18"/>
          <w:color w:val="auto"/>
        </w:rPr>
        <w:t>. The Company consents to the Agent trading, in compliance with applicable law, in the ADSs for the Agent’s own account and for the account of its clients at the same time as sales of the Shares occur pursuant to this Agreement.</w:t>
      </w:r>
    </w:p>
    <w:p>
      <w:pPr>
        <w:spacing w:after="0" w:line="161" w:lineRule="exact"/>
        <w:rPr>
          <w:rFonts w:ascii="Times New Roman" w:cs="Times New Roman" w:eastAsia="Times New Roman" w:hAnsi="Times New Roman"/>
          <w:sz w:val="18"/>
          <w:szCs w:val="18"/>
          <w:color w:val="auto"/>
        </w:rPr>
      </w:pPr>
    </w:p>
    <w:p>
      <w:pPr>
        <w:ind w:left="-20" w:firstLine="656"/>
        <w:spacing w:after="0" w:line="282" w:lineRule="auto"/>
        <w:tabs>
          <w:tab w:leader="none" w:pos="130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Limitation</w:t>
      </w:r>
      <w:r>
        <w:rPr>
          <w:rFonts w:ascii="Times New Roman" w:cs="Times New Roman" w:eastAsia="Times New Roman" w:hAnsi="Times New Roman"/>
          <w:sz w:val="18"/>
          <w:szCs w:val="18"/>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55" w:lineRule="auto"/>
        <w:tabs>
          <w:tab w:leader="none" w:pos="128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Times New Roman" w:cs="Times New Roman" w:eastAsia="Times New Roman" w:hAnsi="Times New Roman"/>
          <w:sz w:val="18"/>
          <w:szCs w:val="18"/>
          <w:b w:val="1"/>
          <w:bCs w:val="1"/>
          <w:color w:val="auto"/>
        </w:rPr>
        <w:t>Rule 102</w:t>
      </w:r>
      <w:r>
        <w:rPr>
          <w:rFonts w:ascii="Times New Roman" w:cs="Times New Roman" w:eastAsia="Times New Roman" w:hAnsi="Times New Roman"/>
          <w:sz w:val="18"/>
          <w:szCs w:val="18"/>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38" w:name="page39"/>
    <w:bookmarkEnd w:id="38"/>
    <w:p>
      <w:pPr>
        <w:jc w:val="both"/>
        <w:ind w:firstLine="656"/>
        <w:spacing w:after="0" w:line="252" w:lineRule="auto"/>
        <w:tabs>
          <w:tab w:leader="none" w:pos="136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w:t>
      </w:r>
      <w:r>
        <w:rPr>
          <w:rFonts w:ascii="Times New Roman" w:cs="Times New Roman" w:eastAsia="Times New Roman" w:hAnsi="Times New Roman"/>
          <w:sz w:val="18"/>
          <w:szCs w:val="18"/>
          <w:color w:val="auto"/>
        </w:rPr>
        <w:t>. Without the written consent of the Agent, the Company will not, directly or indirectly, offer to sell, sell, contract to sell, grant any option to sell or otherwise dispose of any Common Shares or ADSs or securities convertible into or exchangeable for Common Shares or ADSs (other than Shares hereunder), warrants or any rights to purchase or acquire Common Shares or ADSs,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 transaction offer to sell, sell, contract to sell, grant any option to sell or otherwise dispose of any Common Shares or ADSs (other than the Shares offered pursuant to this Agreement) or securities convertible into or exchangeable for Common Shares or ADSs, warrants or any rights to purchase or acquire, Common Shares or ADSs prior to the termination of this Agreement; provided, however, that such restrictions will not be required in connection with the Company’s (i) issuance or sale of Common Shares or ADSs, options or warrants (including share warrants (BSA)) to purchase Common Shares or ADSs or Common Shares or ADSs issuable upon the exercise of options, warrants, including share warrants (BSA) or other equity awards pursuant to any employee or supervisory board member or management board member share option, incentive or benefit plan, share purchase or ownership plan, long-term incentive plan, dividend reinvestment plan, inducement award under Nasdaq rules or other compensation plan of the Company or its subsidiaries on the date of this Agreement, (ii) issuance or sale of Common Shares or ADSs issuable upon exchange, conversion or redemption of securities or the exercise or vesting of warrants (including share warrants (BSA)), options, free shares or other equity awards outstanding at the date of this Agreement and (iii) modification of any outstanding options, warrants or any rights to purchase or acquire Common Shares or ADSs.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CONDITIONS TO DELIVERY OF ISSUANCE NOTICES AND TO SETTLEMENT</w:t>
      </w:r>
    </w:p>
    <w:p>
      <w:pPr>
        <w:spacing w:after="0" w:line="229" w:lineRule="exact"/>
        <w:rPr>
          <w:sz w:val="20"/>
          <w:szCs w:val="20"/>
          <w:color w:val="auto"/>
        </w:rPr>
      </w:pPr>
    </w:p>
    <w:p>
      <w:pPr>
        <w:jc w:val="both"/>
        <w:ind w:firstLine="656"/>
        <w:spacing w:after="0" w:line="261" w:lineRule="auto"/>
        <w:tabs>
          <w:tab w:leader="none" w:pos="129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to the Right of the Company to Deliver an Issuance Notice and the Obligation of the Agent to Sell Shares</w:t>
      </w:r>
      <w:r>
        <w:rPr>
          <w:rFonts w:ascii="Times New Roman" w:cs="Times New Roman" w:eastAsia="Times New Roman" w:hAnsi="Times New Roman"/>
          <w:sz w:val="18"/>
          <w:szCs w:val="18"/>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180" w:lineRule="exact"/>
        <w:rPr>
          <w:sz w:val="20"/>
          <w:szCs w:val="20"/>
          <w:color w:val="auto"/>
        </w:rPr>
      </w:pPr>
    </w:p>
    <w:p>
      <w:pPr>
        <w:jc w:val="both"/>
        <w:ind w:left="1300" w:hanging="644"/>
        <w:spacing w:after="0" w:line="258"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the Company’s Representations and Warranties; Performance by the Company</w:t>
      </w:r>
      <w:r>
        <w:rPr>
          <w:rFonts w:ascii="Times New Roman" w:cs="Times New Roman" w:eastAsia="Times New Roman" w:hAnsi="Times New Roman"/>
          <w:sz w:val="18"/>
          <w:szCs w:val="18"/>
          <w:color w:val="auto"/>
        </w:rPr>
        <w:t xml:space="preserve">. The Company shall have delivered the certificate required to be delivered pursuant to </w:t>
      </w:r>
      <w:r>
        <w:rPr>
          <w:rFonts w:ascii="Times New Roman" w:cs="Times New Roman" w:eastAsia="Times New Roman" w:hAnsi="Times New Roman"/>
          <w:sz w:val="18"/>
          <w:szCs w:val="18"/>
          <w:u w:val="single" w:color="auto"/>
          <w:color w:val="auto"/>
        </w:rPr>
        <w:t>Section 4(p)</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4(p)</w:t>
      </w:r>
      <w:r>
        <w:rPr>
          <w:rFonts w:ascii="Times New Roman" w:cs="Times New Roman" w:eastAsia="Times New Roman" w:hAnsi="Times New Roman"/>
          <w:sz w:val="18"/>
          <w:szCs w:val="18"/>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Times New Roman" w:cs="Times New Roman" w:eastAsia="Times New Roman" w:hAnsi="Times New Roman"/>
          <w:sz w:val="18"/>
          <w:szCs w:val="18"/>
          <w:u w:val="single" w:color="auto"/>
          <w:color w:val="auto"/>
        </w:rPr>
        <w:t>Section 4(p)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4(q)</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4(r)</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jc w:val="both"/>
        <w:ind w:left="1300" w:hanging="644"/>
        <w:spacing w:after="0" w:line="258"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Adverse Changes</w:t>
      </w:r>
      <w:r>
        <w:rPr>
          <w:rFonts w:ascii="Times New Roman" w:cs="Times New Roman" w:eastAsia="Times New Roman" w:hAnsi="Times New Roman"/>
          <w:sz w:val="18"/>
          <w:szCs w:val="18"/>
          <w:color w:val="auto"/>
        </w:rPr>
        <w:t>. Except as disclosed in the Prospectus and the Time of Sale Information, (a) in the judgment of the Agent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2"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 of Trading in or Delisting of ADSs; Other Events</w:t>
      </w:r>
      <w:r>
        <w:rPr>
          <w:rFonts w:ascii="Times New Roman" w:cs="Times New Roman" w:eastAsia="Times New Roman" w:hAnsi="Times New Roman"/>
          <w:sz w:val="18"/>
          <w:szCs w:val="18"/>
          <w:color w:val="auto"/>
        </w:rPr>
        <w:t>. The trading of the ADSs (including without limitation the Shares) shall not have been suspended by the Commission, the Principal Market or FINRA and the ADSs (including without limitation the Shares) shall have been approved for listing or quotation on and shall not have been delisted from the Nasdaq Stock Market, the New York Stock Exchange or any of their constituent markets on which such securities are then listed. There shall not have occurred (and be continuing in the case of occurrences under clauses (i) and (ii) below) any of the following: (i) trading or quotation in any of the Company’s securities shall have been suspended or limited by the Commission, the AMF or by the Principal Market or Euronext Paris or trading in securities generally on either the Principal Market or Euronext Paris shall have been suspended or limited, or minimum or maximum prices shall have been generally established on any of such stock exchanges by the Commission, the AMF or the FINRA; (ii) a general banking moratorium shall have been declared by any of federal or New York authorities or French or European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197" w:lineRule="exact"/>
        <w:rPr>
          <w:sz w:val="20"/>
          <w:szCs w:val="20"/>
          <w:color w:val="auto"/>
        </w:rPr>
      </w:pPr>
    </w:p>
    <w:p>
      <w:pPr>
        <w:jc w:val="both"/>
        <w:ind w:firstLine="656"/>
        <w:spacing w:after="0" w:line="258" w:lineRule="auto"/>
        <w:tabs>
          <w:tab w:leader="none" w:pos="13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Required to be Delivered on each Issuance Notice Date</w:t>
      </w:r>
      <w:r>
        <w:rPr>
          <w:rFonts w:ascii="Times New Roman" w:cs="Times New Roman" w:eastAsia="Times New Roman" w:hAnsi="Times New Roman"/>
          <w:sz w:val="18"/>
          <w:szCs w:val="18"/>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jc w:val="both"/>
        <w:ind w:firstLine="656"/>
        <w:spacing w:after="0" w:line="261" w:lineRule="auto"/>
        <w:tabs>
          <w:tab w:leader="none" w:pos="131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Agent shall not have advised the Company that the Registration Statement, the ADS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79"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Counsel Legal Opinion</w:t>
      </w:r>
      <w:r>
        <w:rPr>
          <w:rFonts w:ascii="Times New Roman" w:cs="Times New Roman" w:eastAsia="Times New Roman" w:hAnsi="Times New Roman"/>
          <w:sz w:val="18"/>
          <w:szCs w:val="18"/>
          <w:color w:val="auto"/>
        </w:rPr>
        <w:t>. Agent shall have received from Goodwin Procter LLP, counsel for Agent, such opinion or opinions, on or</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date on which the delivery of the Company counsel legal opinion is required pursuant to Section‎ 4(q), with respect to such matters as Agent may reasonably require, and the Company shall have furnished to such counsel such documents as they request for enabling them to pass upon such matters.</w:t>
      </w:r>
    </w:p>
    <w:p>
      <w:pPr>
        <w:spacing w:after="0" w:line="181" w:lineRule="exact"/>
        <w:rPr>
          <w:rFonts w:ascii="Times New Roman" w:cs="Times New Roman" w:eastAsia="Times New Roman" w:hAnsi="Times New Roman"/>
          <w:sz w:val="18"/>
          <w:szCs w:val="18"/>
          <w:color w:val="auto"/>
        </w:rPr>
      </w:pPr>
    </w:p>
    <w:p>
      <w:pPr>
        <w:ind w:firstLine="656"/>
        <w:spacing w:after="0" w:line="282" w:lineRule="auto"/>
        <w:tabs>
          <w:tab w:leader="none" w:pos="13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Depositary’s Counsel</w:t>
      </w:r>
      <w:r>
        <w:rPr>
          <w:rFonts w:ascii="Times New Roman" w:cs="Times New Roman" w:eastAsia="Times New Roman" w:hAnsi="Times New Roman"/>
          <w:sz w:val="18"/>
          <w:szCs w:val="18"/>
          <w:color w:val="auto"/>
        </w:rPr>
        <w:t>. On or prior to the first Settlement Date, the Agent shall have received an opinion of Patterson Belknap Webb &amp; Tyler LLP, counsel for the Depositary, in form and substance reasonably satisfactory to counsel for the Agent.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Documents</w:t>
      </w:r>
      <w:r>
        <w:rPr>
          <w:rFonts w:ascii="Times New Roman" w:cs="Times New Roman" w:eastAsia="Times New Roman" w:hAnsi="Times New Roman"/>
          <w:sz w:val="18"/>
          <w:szCs w:val="18"/>
          <w:color w:val="auto"/>
        </w:rPr>
        <w:t xml:space="preserve">. Within the applicable time periods contemplated by Section‎ 3(b)(iii)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the Agent shall have received such documents as required by French law and the limits and other conditions set forth in the corporate authorizations of the Company in a form acceptable by the Company duly executed, and such documents shall be in full force and effect, including the Investor Letter of each prospective investor.</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7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On each relevant Settlement Date, the ADSs shall be approved for listing, and not subject to any notice of delisting, on Nasdaq, and on the first Euronext trading day following each relevant Settlement Date, the Underlying Common Shares shall have been approved for listing on Euronext, subject to official notice of issuance.</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9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 du dépositaire</w:t>
      </w:r>
      <w:r>
        <w:rPr>
          <w:rFonts w:ascii="Times New Roman" w:cs="Times New Roman" w:eastAsia="Times New Roman" w:hAnsi="Times New Roman"/>
          <w:sz w:val="18"/>
          <w:szCs w:val="18"/>
          <w:color w:val="auto"/>
        </w:rPr>
        <w:t>. On each Settlement Date, once it has received the funds corresponding to the subscription of the applicable Underlying Common Shares, for purposes of settlement and delivery of the Underlying Common Shares, the Registrar shall issue the depositary certificate (</w:t>
      </w:r>
      <w:r>
        <w:rPr>
          <w:rFonts w:ascii="Times New Roman" w:cs="Times New Roman" w:eastAsia="Times New Roman" w:hAnsi="Times New Roman"/>
          <w:sz w:val="18"/>
          <w:szCs w:val="18"/>
          <w:i w:val="1"/>
          <w:iCs w:val="1"/>
          <w:color w:val="auto"/>
        </w:rPr>
        <w:t>certificat du dépositaire</w:t>
      </w:r>
      <w:r>
        <w:rPr>
          <w:rFonts w:ascii="Times New Roman" w:cs="Times New Roman" w:eastAsia="Times New Roman" w:hAnsi="Times New Roman"/>
          <w:sz w:val="18"/>
          <w:szCs w:val="18"/>
          <w:color w:val="auto"/>
        </w:rPr>
        <w:t>) provided for by Article L. 225-146 of the French Commercial Code, relating to the capital increases of the Company resulting from the subscription of the Underlying Common Shares and the corresponding Shares and shall send a copy thereof to the Company and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4575175</wp:posOffset>
            </wp:positionH>
            <wp:positionV relativeFrom="paragraph">
              <wp:posOffset>-2368550</wp:posOffset>
            </wp:positionV>
            <wp:extent cx="5613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1340" cy="825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-1545590</wp:posOffset>
            </wp:positionV>
            <wp:extent cx="8845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4555" cy="8255"/>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Section 6. INDEMNIFICATION AND CONTRIBUTION</w:t>
      </w:r>
    </w:p>
    <w:p>
      <w:pPr>
        <w:spacing w:after="0" w:line="229" w:lineRule="exact"/>
        <w:rPr>
          <w:sz w:val="20"/>
          <w:szCs w:val="20"/>
          <w:color w:val="auto"/>
        </w:rPr>
      </w:pPr>
    </w:p>
    <w:p>
      <w:pPr>
        <w:jc w:val="both"/>
        <w:ind w:firstLine="656"/>
        <w:spacing w:after="0" w:line="252" w:lineRule="auto"/>
        <w:tabs>
          <w:tab w:leader="none" w:pos="14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the Agent</w:t>
      </w:r>
      <w:r>
        <w:rPr>
          <w:rFonts w:ascii="Times New Roman" w:cs="Times New Roman" w:eastAsia="Times New Roman" w:hAnsi="Times New Roman"/>
          <w:sz w:val="18"/>
          <w:szCs w:val="18"/>
          <w:color w:val="auto"/>
        </w:rPr>
        <w:t xml:space="preserve">.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the ADS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expenses (including the reasonable and documented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the ADS Registration Statement, any such Free Writing Prospectus or the Prospectus (or any amendment or supplement thereto), it being understood and agreed that the only such information furnished by the Agent to the Company consists of the information described in subsection (b) below. The indemnity agreement set forth in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shall be in addition to any liabilities that the Company may otherwise have.</w:t>
      </w:r>
    </w:p>
    <w:p>
      <w:pPr>
        <w:spacing w:after="0" w:line="189" w:lineRule="exact"/>
        <w:rPr>
          <w:rFonts w:ascii="Times New Roman" w:cs="Times New Roman" w:eastAsia="Times New Roman" w:hAnsi="Times New Roman"/>
          <w:sz w:val="18"/>
          <w:szCs w:val="18"/>
          <w:color w:val="auto"/>
        </w:rPr>
      </w:pPr>
    </w:p>
    <w:p>
      <w:pPr>
        <w:jc w:val="both"/>
        <w:ind w:firstLine="656"/>
        <w:spacing w:after="0" w:line="252" w:lineRule="auto"/>
        <w:tabs>
          <w:tab w:leader="none" w:pos="13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the Company, its Directors and Officers</w:t>
      </w:r>
      <w:r>
        <w:rPr>
          <w:rFonts w:ascii="Times New Roman" w:cs="Times New Roman" w:eastAsia="Times New Roman" w:hAnsi="Times New Roman"/>
          <w:sz w:val="18"/>
          <w:szCs w:val="18"/>
          <w:color w:val="auto"/>
        </w:rPr>
        <w:t>. The Agent agrees to indemnify and hold harmless the Company, each of the members of its Supervisory Board, each of its members of the Management Board who signed the Registration Statement and each person, if any, who controls the Company within the meaning of the Securities Act or the Exchange Act against any loss, claim, damage, liability or expense, as incurred, to which the Company or any such member of the Supervisory Board or Management Board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fourteenth paragraph under the caption “Plan of Distribution” in the Prospectus, and to reimburse the Company and each such director, officer and controlling person for any and all expenses (including the reasonable and documented fees and disbursements of one counsel chosen by the Company) as such expenses are reasonably incurred by the Company or such member of the Supervisory Board or Management Board or controlling person in connection with investigating, defending, settling, compromising or paying any such loss, claim, damage, liability, expense or action. The indemnity agreement set forth in this Section 6(b) shall be in addition to any liabilities that the Agent or the Company may otherwise have.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2" w:name="page43"/>
    <w:bookmarkEnd w:id="42"/>
    <w:p>
      <w:pPr>
        <w:jc w:val="both"/>
        <w:ind w:firstLine="656"/>
        <w:spacing w:after="0" w:line="251" w:lineRule="auto"/>
        <w:tabs>
          <w:tab w:leader="none" w:pos="133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Notifications and Other Indemnification Procedures</w:t>
      </w:r>
      <w:r>
        <w:rPr>
          <w:rFonts w:ascii="Times New Roman" w:cs="Times New Roman" w:eastAsia="Times New Roman" w:hAnsi="Times New Roman"/>
          <w:sz w:val="18"/>
          <w:szCs w:val="18"/>
          <w:color w:val="auto"/>
        </w:rPr>
        <w:t xml:space="preserve">. Promptly after receipt by an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notice of the commencement of any action, such indemnified party will, if a claim in respect thereof is to be made against an indemnifying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based on the advice of counsel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for any reasonable and documented out of pocket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3" w:name="page44"/>
    <w:bookmarkEnd w:id="43"/>
    <w:p>
      <w:pPr>
        <w:jc w:val="both"/>
        <w:ind w:firstLine="656"/>
        <w:spacing w:after="0" w:line="253" w:lineRule="auto"/>
        <w:tabs>
          <w:tab w:leader="none" w:pos="142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Settlements</w:t>
      </w:r>
      <w:r>
        <w:rPr>
          <w:rFonts w:ascii="Times New Roman" w:cs="Times New Roman" w:eastAsia="Times New Roman" w:hAnsi="Times New Roman"/>
          <w:sz w:val="18"/>
          <w:szCs w:val="18"/>
          <w:color w:val="auto"/>
        </w:rPr>
        <w:t xml:space="preserve">. The indemnifying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133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amount paid or payable by a party as a result of the losses, claims, damages, liabilities and expenses referred to above shall be deemed to include, subject to the limitations set forth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any reasonable and documented out of pocket legal or other fees or expenses reasonably incurred by such party in connection with investigating or defending any action or claim. The provisions set forth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with respect to notice of commencement of any action shall apply if a claim for contribution is to be made under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additional notice shall be required with respect to any action for which notice has been given under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for purposes of indemnification.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4" w:name="page45"/>
    <w:bookmarkEnd w:id="44"/>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Company and the Agent agree that it would not be just and equitable if contribution pursuant to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provisions of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6(e)</w:t>
      </w:r>
      <w:r>
        <w:rPr>
          <w:rFonts w:ascii="Times New Roman" w:cs="Times New Roman" w:eastAsia="Times New Roman" w:hAnsi="Times New Roman"/>
          <w:sz w:val="18"/>
          <w:szCs w:val="18"/>
          <w:color w:val="auto"/>
        </w:rPr>
        <w:t>, each officer and employee of the Agent and each person, if any, who controls the Agent within the meaning of the Securities Act or the Exchange Act shall have the same rights to contribution as the Agent, and each Supervisory Board member and Management Board member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TERMINATION &amp; SURVIVAL</w:t>
      </w:r>
    </w:p>
    <w:p>
      <w:pPr>
        <w:spacing w:after="0" w:line="229" w:lineRule="exact"/>
        <w:rPr>
          <w:sz w:val="20"/>
          <w:szCs w:val="20"/>
          <w:color w:val="auto"/>
        </w:rPr>
      </w:pPr>
    </w:p>
    <w:p>
      <w:pPr>
        <w:ind w:right="20" w:firstLine="656"/>
        <w:spacing w:after="0" w:line="282" w:lineRule="auto"/>
        <w:tabs>
          <w:tab w:leader="none" w:pos="1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 term of this Agreement shall continue from the date of this Agreement until the end of the Agency Period, unless earlier terminated by the parties to this Agreement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Survival Following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56"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Times New Roman" w:cs="Times New Roman" w:eastAsia="Times New Roman" w:hAnsi="Times New Roman"/>
          <w:sz w:val="18"/>
          <w:szCs w:val="18"/>
          <w:u w:val="single" w:color="auto"/>
          <w:color w:val="auto"/>
        </w:rPr>
        <w:t>Section 3(b)(vii)</w:t>
      </w:r>
      <w:r>
        <w:rPr>
          <w:rFonts w:ascii="Times New Roman" w:cs="Times New Roman" w:eastAsia="Times New Roman" w:hAnsi="Times New Roman"/>
          <w:sz w:val="18"/>
          <w:szCs w:val="18"/>
          <w:color w:val="auto"/>
        </w:rPr>
        <w:t xml:space="preserve"> with respect to such Shares and (B)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187"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survival provision of </w:t>
      </w:r>
      <w:r>
        <w:rPr>
          <w:rFonts w:ascii="Times New Roman" w:cs="Times New Roman" w:eastAsia="Times New Roman" w:hAnsi="Times New Roman"/>
          <w:sz w:val="18"/>
          <w:szCs w:val="18"/>
          <w:u w:val="single" w:color="auto"/>
          <w:color w:val="auto"/>
        </w:rPr>
        <w:t>Section 7(b)(i)</w:t>
      </w:r>
      <w:r>
        <w:rPr>
          <w:rFonts w:ascii="Times New Roman" w:cs="Times New Roman" w:eastAsia="Times New Roman" w:hAnsi="Times New Roman"/>
          <w:sz w:val="18"/>
          <w:szCs w:val="18"/>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directors, Supervisory Board members, Management Board members or any controlling person, as the case may be, and, anything herein to the contrary notwithstanding, will survive delivery of and payment for the Shares sold hereunder and any termination of this Agreement.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Section 8. MISCELLANEOUS</w:t>
      </w:r>
    </w:p>
    <w:p>
      <w:pPr>
        <w:spacing w:after="0" w:line="229" w:lineRule="exact"/>
        <w:rPr>
          <w:sz w:val="20"/>
          <w:szCs w:val="20"/>
          <w:color w:val="auto"/>
        </w:rPr>
      </w:pPr>
    </w:p>
    <w:p>
      <w:pPr>
        <w:jc w:val="both"/>
        <w:ind w:firstLine="656"/>
        <w:spacing w:after="0" w:line="253" w:lineRule="auto"/>
        <w:tabs>
          <w:tab w:leader="none" w:pos="13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Press Releases and Disclosure</w:t>
      </w:r>
      <w:r>
        <w:rPr>
          <w:rFonts w:ascii="Times New Roman" w:cs="Times New Roman" w:eastAsia="Times New Roman" w:hAnsi="Times New Roman"/>
          <w:sz w:val="18"/>
          <w:szCs w:val="18"/>
          <w:color w:val="auto"/>
        </w:rPr>
        <w:t>. The Company may issue a press release describing the material terms of the transactions contemplated hereby as soon as practicable following the date of this Agreement, and may file with the Commission a report on Form 6-K,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contemplated in Section 4(a) of this Agreement or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126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126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Research Analyst Independence</w:t>
      </w:r>
      <w:r>
        <w:rPr>
          <w:rFonts w:ascii="Times New Roman" w:cs="Times New Roman" w:eastAsia="Times New Roman" w:hAnsi="Times New Roman"/>
          <w:sz w:val="18"/>
          <w:szCs w:val="18"/>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6" w:name="page47"/>
    <w:bookmarkEnd w:id="46"/>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shall be in writing and shall be mailed, hand delivered or telecopied and confirmed to the parties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 as follows: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to the Agent: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Facsimile: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 10022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Siavosh Salimi</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Valneva SE</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 rue Alain Bombard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44800 Saint-Herblain, France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Cooley LLP</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500 Boylston Street, 14th Floor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Marc Recht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party hereto may change the address for receipt of communications by giving written notice to the others in accordance with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14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xml:space="preserve">. This Agreement will inure to the benefit of and be binding upon the parties hereto, and to the benefit of the employees, officers, directors, Supervisory Board members, Management Board members and controlling persons referred to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3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Unenforceability</w:t>
      </w:r>
      <w:r>
        <w:rPr>
          <w:rFonts w:ascii="Times New Roman" w:cs="Times New Roman" w:eastAsia="Times New Roman" w:hAnsi="Times New Roman"/>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7" w:name="page48"/>
    <w:bookmarkEnd w:id="47"/>
    <w:p>
      <w:pPr>
        <w:jc w:val="both"/>
        <w:ind w:firstLine="656"/>
        <w:spacing w:after="0" w:line="252" w:lineRule="auto"/>
        <w:tabs>
          <w:tab w:leader="none" w:pos="132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Provisions</w:t>
      </w:r>
      <w:r>
        <w:rPr>
          <w:rFonts w:ascii="Times New Roman" w:cs="Times New Roman" w:eastAsia="Times New Roman" w:hAnsi="Times New Roman"/>
          <w:sz w:val="18"/>
          <w:szCs w:val="18"/>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Times New Roman" w:cs="Times New Roman" w:eastAsia="Times New Roman" w:hAnsi="Times New Roman"/>
          <w:sz w:val="18"/>
          <w:szCs w:val="18"/>
          <w:b w:val="1"/>
          <w:bCs w:val="1"/>
          <w:color w:val="auto"/>
        </w:rPr>
        <w:t>Related Proceedings</w:t>
      </w:r>
      <w:r>
        <w:rPr>
          <w:rFonts w:ascii="Times New Roman" w:cs="Times New Roman" w:eastAsia="Times New Roman" w:hAnsi="Times New Roman"/>
          <w:sz w:val="18"/>
          <w:szCs w:val="18"/>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 “</w:t>
      </w:r>
      <w:r>
        <w:rPr>
          <w:rFonts w:ascii="Times New Roman" w:cs="Times New Roman" w:eastAsia="Times New Roman" w:hAnsi="Times New Roman"/>
          <w:sz w:val="18"/>
          <w:szCs w:val="18"/>
          <w:b w:val="1"/>
          <w:bCs w:val="1"/>
          <w:color w:val="auto"/>
        </w:rPr>
        <w:t>Related Judgment</w:t>
      </w:r>
      <w:r>
        <w:rPr>
          <w:rFonts w:ascii="Times New Roman" w:cs="Times New Roman" w:eastAsia="Times New Roman" w:hAnsi="Times New Roman"/>
          <w:sz w:val="18"/>
          <w:szCs w:val="18"/>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The Company irrevocably appoints Valneva USA, Inc., 4550 Montgomery Avenue, Suite 460, Bethesda MD 20878, as its agent to receive service of process or other legal summons for purposes of any such suit, action or proceeding that may be instituted in any Specified Court. 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193" w:lineRule="exact"/>
        <w:rPr>
          <w:rFonts w:ascii="Times New Roman" w:cs="Times New Roman" w:eastAsia="Times New Roman" w:hAnsi="Times New Roman"/>
          <w:sz w:val="18"/>
          <w:szCs w:val="18"/>
          <w:color w:val="auto"/>
        </w:rPr>
      </w:pPr>
    </w:p>
    <w:p>
      <w:pPr>
        <w:jc w:val="both"/>
        <w:ind w:firstLine="656"/>
        <w:spacing w:after="0" w:line="258" w:lineRule="auto"/>
        <w:tabs>
          <w:tab w:leader="none" w:pos="157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The obligations of the Company pursuant to this Agreement in respect of any sum due to the Agent shall, notwithstanding any judgment in a currency other than U.S. dollars, not be discharged until the first business day, following receipt by the Agent of any sum adjudged to be so due in such other currency, on which (and only to the extent that) the Agent may in accordance with normal banking procedures purchase U.S. dollars with such other currency; if the U.S. dollars so purchased are less than the sum originally due to the Agent hereunder, the Company agrees, as a separate obligation and notwithstanding any such judgment, to indemnify the Agent against such loss.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8" w:name="page49"/>
    <w:bookmarkEnd w:id="48"/>
    <w:p>
      <w:pPr>
        <w:jc w:val="both"/>
        <w:ind w:left="-20" w:firstLine="656"/>
        <w:spacing w:after="0" w:line="254" w:lineRule="auto"/>
        <w:tabs>
          <w:tab w:leader="none" w:pos="133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Immediately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49" w:name="page50"/>
    <w:bookmarkEnd w:id="49"/>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VALNEVA SE</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Thomas Lingelbach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6314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Thomas Lingelbach</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Agreement is hereby confirmed and accepted by the Agent in New York, New York 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Magarro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1431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Name: Michael Magarro</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ISSUANCE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[__________]</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Reference is made to the Open Market Sale Agreement between Valneva S.E., a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xml:space="preserve"> incorporated in France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Jefferies LLC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dated as of August 12, 2022. The Company confirms that all conditions to the delivery of this Issuance Notice are satisfied as of the date hereof.</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number of Underlying Common Shares issued over a 12-month rolling period represents, once issued together with all the other common shares which have been admitted to trading on the regulated market of Euronext Paris over the same 12-month period without a French listing prospectus approved by the French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less than 20% of the total number of the Company’s securities already admitted to trading on Euronext Paris on the date the admission to trading of the Underlying Common Shares is requested.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Maximum Program Amount available is : $_____________________________________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of Delivery of Issuance Notice (determined pursuant to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Amount (equal to the total Sales Price for such Shares):</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17145</wp:posOffset>
            </wp:positionV>
            <wp:extent cx="16459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17145</wp:posOffset>
            </wp:positionV>
            <wp:extent cx="17056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17145</wp:posOffset>
            </wp:positionV>
            <wp:extent cx="17056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17145</wp:posOffset>
            </wp:positionV>
            <wp:extent cx="17056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Date(s) if other than standard T+2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291465</wp:posOffset>
            </wp:positionV>
            <wp:extent cx="16459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Shares must be placed at the same Sale Price on any Trading Day.</w:t>
      </w:r>
    </w:p>
    <w:p>
      <w:pPr>
        <w:spacing w:after="0" w:line="225" w:lineRule="exact"/>
        <w:rPr>
          <w:sz w:val="20"/>
          <w:szCs w:val="20"/>
          <w:color w:val="auto"/>
        </w:rPr>
      </w:pPr>
    </w:p>
    <w:p>
      <w:pPr>
        <w:ind w:right="3180"/>
        <w:spacing w:after="0" w:line="282" w:lineRule="auto"/>
        <w:rPr>
          <w:sz w:val="20"/>
          <w:szCs w:val="20"/>
          <w:color w:val="auto"/>
        </w:rPr>
      </w:pPr>
      <w:r>
        <w:rPr>
          <w:rFonts w:ascii="Times New Roman" w:cs="Times New Roman" w:eastAsia="Times New Roman" w:hAnsi="Times New Roman"/>
          <w:sz w:val="18"/>
          <w:szCs w:val="18"/>
          <w:color w:val="auto"/>
        </w:rPr>
        <w:t>Number of Shares and corresponding ADSs still available for issuance under the 20% French listing prospectus exemption:___________________________________________________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Floor Price (in no event less than $1.00 without the prior written consent of the Agent, which consent may be withheld in the Agent’s sole discretion):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 per ADS, it being specified that each Share will be sold at the same price and that the Sales Price per Share will be at least equal to the U.S. dollar</w:t>
      </w:r>
    </w:p>
    <w:p>
      <w:pPr>
        <w:spacing w:after="0" w:line="9" w:lineRule="exact"/>
        <w:rPr>
          <w:sz w:val="20"/>
          <w:szCs w:val="20"/>
          <w:color w:val="auto"/>
        </w:rPr>
      </w:pPr>
    </w:p>
    <w:p>
      <w:pPr>
        <w:jc w:val="both"/>
        <w:ind w:right="300"/>
        <w:spacing w:after="0" w:line="255" w:lineRule="auto"/>
        <w:rPr>
          <w:sz w:val="20"/>
          <w:szCs w:val="20"/>
          <w:color w:val="auto"/>
        </w:rPr>
      </w:pPr>
      <w:r>
        <w:rPr>
          <w:rFonts w:ascii="Times New Roman" w:cs="Times New Roman" w:eastAsia="Times New Roman" w:hAnsi="Times New Roman"/>
          <w:sz w:val="18"/>
          <w:szCs w:val="18"/>
          <w:color w:val="auto"/>
        </w:rPr>
        <w:t>equivalent (based on the then-prevailing exchange rate) of the volume-weighted average price of the Company’s Common Shares on Euronext over a period of time chosen by the Management Board (</w:t>
      </w:r>
      <w:r>
        <w:rPr>
          <w:rFonts w:ascii="Times New Roman" w:cs="Times New Roman" w:eastAsia="Times New Roman" w:hAnsi="Times New Roman"/>
          <w:sz w:val="18"/>
          <w:szCs w:val="18"/>
          <w:i w:val="1"/>
          <w:iCs w:val="1"/>
          <w:color w:val="auto"/>
        </w:rPr>
        <w:t>Directoire</w:t>
      </w:r>
      <w:r>
        <w:rPr>
          <w:rFonts w:ascii="Times New Roman" w:cs="Times New Roman" w:eastAsia="Times New Roman" w:hAnsi="Times New Roman"/>
          <w:sz w:val="18"/>
          <w:szCs w:val="18"/>
          <w:color w:val="auto"/>
        </w:rPr>
        <w:t>) comprising between three (3) and ninety (90) Trading Days preceding the pricing of the relevant sale, subject to a maximum discount of 15% as calculated by the Agent during the applicable period set forth in the Issuance Notice.</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Sales by the Agent are only open to investors falling within one of the following categories and the investor will certify prior to delivery of the Issuance Decision contemplated by Section 3(b)(v) of the Sales Agreement, that it belongs to one of them by signing an investor letter attached hereto as Exhibit A in accordance with the Sales Agreement:</w:t>
      </w:r>
    </w:p>
    <w:p>
      <w:pPr>
        <w:spacing w:after="0" w:line="176" w:lineRule="exact"/>
        <w:rPr>
          <w:sz w:val="20"/>
          <w:szCs w:val="20"/>
          <w:color w:val="auto"/>
        </w:rPr>
      </w:pPr>
    </w:p>
    <w:p>
      <w:pPr>
        <w:ind w:right="40" w:firstLine="397"/>
        <w:spacing w:after="0" w:line="282" w:lineRule="auto"/>
        <w:tabs>
          <w:tab w:leader="none" w:pos="60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person(s) or legal entity(ies), including companies, trusts, investment funds or other investment vehicle(s), regardless of their form, under French or foreign law, investing on a regular basis in the pharmaceutical, biotechnological or medical technology sector, and/or</w:t>
      </w:r>
    </w:p>
    <w:p>
      <w:pPr>
        <w:spacing w:after="0" w:line="161" w:lineRule="exact"/>
        <w:rPr>
          <w:rFonts w:ascii="Times New Roman" w:cs="Times New Roman" w:eastAsia="Times New Roman" w:hAnsi="Times New Roman"/>
          <w:sz w:val="18"/>
          <w:szCs w:val="18"/>
          <w:color w:val="auto"/>
        </w:rPr>
      </w:pPr>
    </w:p>
    <w:p>
      <w:pPr>
        <w:ind w:right="140" w:firstLine="397"/>
        <w:spacing w:after="0" w:line="282" w:lineRule="auto"/>
        <w:tabs>
          <w:tab w:leader="none" w:pos="65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French or foreign company, institution or entity, regardless of its form, carrying out a significant part of its activities in the pharmaceutical, cosmetic or chemical sectors or in medical devices and/or technologies or in research in these fields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funds corresponding to the share capital increases shall be transferred to the Company’s account(s) held at Société Générale Securities Services, as transfer agent and registrar of the Company on or before the Settlement Date, details of which are provided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Name: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SWIFT BIC: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Euroclear bank account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Final beneficiary: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Details of Société Générale U.S. bank account at Euroclear Bank</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308610</wp:posOffset>
            </wp:positionV>
            <wp:extent cx="35572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796" w:right="47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Schedule A to 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INVESTOR LETTER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VALNEVA 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rue Alain Bombard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44800 Saint-Herblain, France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VALNEVA 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its proposed commitment to subscribe for ordinary shares, nominal value €0.15 per share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xml:space="preserve">”), of Valneva SE, a </w:t>
      </w:r>
      <w:r>
        <w:rPr>
          <w:rFonts w:ascii="Times New Roman" w:cs="Times New Roman" w:eastAsia="Times New Roman" w:hAnsi="Times New Roman"/>
          <w:sz w:val="18"/>
          <w:szCs w:val="18"/>
          <w:i w:val="1"/>
          <w:iCs w:val="1"/>
          <w:color w:val="auto"/>
        </w:rPr>
        <w:t xml:space="preserve">Societas Europaea </w:t>
      </w:r>
      <w:r>
        <w:rPr>
          <w:rFonts w:ascii="Times New Roman" w:cs="Times New Roman" w:eastAsia="Times New Roman" w:hAnsi="Times New Roman"/>
          <w:sz w:val="18"/>
          <w:szCs w:val="18"/>
          <w:color w:val="auto"/>
        </w:rPr>
        <w:t>incorporated under the laws of France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be delivered in the form of American 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context of an issuance by the Company without preferential subscription rights of up to [ ] Common Shares in the form of ADSs reserved to specified categories of investors (the “</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the undersigned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hereby represents and warrants that, as at the date hereof and until the completion of the Placement, it belongs and will belong, or is acting on behalf of or advising an investor who belongs and will belong, to one of the following categories:</w:t>
      </w:r>
    </w:p>
    <w:p>
      <w:pPr>
        <w:spacing w:after="0" w:line="186" w:lineRule="exact"/>
        <w:rPr>
          <w:sz w:val="20"/>
          <w:szCs w:val="20"/>
          <w:color w:val="auto"/>
        </w:rPr>
      </w:pPr>
    </w:p>
    <w:p>
      <w:pPr>
        <w:ind w:firstLine="8"/>
        <w:spacing w:after="0" w:line="282" w:lineRule="auto"/>
        <w:tabs>
          <w:tab w:leader="none" w:pos="2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legal entity (including companies), trusts or investment funds, or other investment vehicles, regardless of their form, under French or foreign law, investing on a regular basis in the pharmaceutical, biotechnology or medical technology sectors.</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9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French or foreign company, institution or entity, regardless of its form, carrying out a significant part of its activities in the pharmaceutical, cosmetic or chemical sectors or in medical devices and/or technologies or in research in these fields.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provided that, if the Investor is acting on behalf of investment funds or other legal entities managed or advised by it, such representation shall also apply to each such funds or legal entities and the Investor shall further ensure compliance thereof by each such funds or entities in connection with the initial distribution of the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ISSUANCE DECISION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Confirmatory email to be received by the Agent for each prospective investor before the Agent Notification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 ]</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our proposed commitment to subscribe for ordinary shares, nominal value €0.15 per share, of Valneva SE, a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xml:space="preserve"> incorporated under the laws of France (the “Company”), to be delivered in the form of American Depositary Shares (the “ADSs”), in the context of an issuance by the Company without preferential subscription rights of up to [ ] Common Shares in the form of ADSs, we acknowledge that the contemplated offering is reserved to the following categories of investors: (i) any person, legal entity (including companies), trusts or investment funds, or other investment vehicles, regardless of their form, under French or foreign law, investing on a regular basis in the pharmaceutical, biotechnology or medical technology sectors; and/or (ii) any French or foreign company, institution or entity, regardless of its form, carrying out a significant part of its activities in the pharmaceutical, cosmetic or chemical sectors or in medical devices and/or technologies or in research in these fields.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hereby represent and warrant belonging to one of the above-mentioned categories and to execute and send to Jefferies LLC an investor letter no later than [ ] by which we will formally represent and warrant belonging to one of these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5" w:name="page56"/>
    <w:bookmarkEnd w:id="5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Form of Officer’s Certificate Pursuant to Section 4(p)</w:t>
      </w:r>
    </w:p>
    <w:p>
      <w:pPr>
        <w:spacing w:after="0" w:line="227" w:lineRule="exact"/>
        <w:rPr>
          <w:sz w:val="20"/>
          <w:szCs w:val="20"/>
          <w:color w:val="auto"/>
        </w:rPr>
      </w:pPr>
    </w:p>
    <w:p>
      <w:pPr>
        <w:jc w:val="both"/>
        <w:ind w:right="60" w:firstLine="441"/>
        <w:spacing w:after="0" w:line="267" w:lineRule="auto"/>
        <w:rPr>
          <w:sz w:val="20"/>
          <w:szCs w:val="20"/>
          <w:color w:val="auto"/>
        </w:rPr>
      </w:pPr>
      <w:r>
        <w:rPr>
          <w:rFonts w:ascii="Times New Roman" w:cs="Times New Roman" w:eastAsia="Times New Roman" w:hAnsi="Times New Roman"/>
          <w:sz w:val="18"/>
          <w:szCs w:val="18"/>
          <w:color w:val="auto"/>
        </w:rPr>
        <w:t xml:space="preserve">The undersigned, the duly qualified and elected Chief Executive Officer of Valneva SE, a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xml:space="preserve"> incorporated under the laws of France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does hereby certify in such capacity and on behalf of the Company, pursuant to </w:t>
      </w:r>
      <w:r>
        <w:rPr>
          <w:rFonts w:ascii="Times New Roman" w:cs="Times New Roman" w:eastAsia="Times New Roman" w:hAnsi="Times New Roman"/>
          <w:sz w:val="18"/>
          <w:szCs w:val="18"/>
          <w:u w:val="single" w:color="auto"/>
          <w:color w:val="auto"/>
        </w:rPr>
        <w:t>Section 4(p)</w:t>
      </w:r>
      <w:r>
        <w:rPr>
          <w:rFonts w:ascii="Times New Roman" w:cs="Times New Roman" w:eastAsia="Times New Roman" w:hAnsi="Times New Roman"/>
          <w:sz w:val="18"/>
          <w:szCs w:val="18"/>
          <w:color w:val="auto"/>
        </w:rPr>
        <w:t xml:space="preserve"> of the Sales Agreement, dated August 12, 2022, between the Company and Jefferies LLC (the “</w:t>
      </w:r>
      <w:r>
        <w:rPr>
          <w:rFonts w:ascii="Times New Roman" w:cs="Times New Roman" w:eastAsia="Times New Roman" w:hAnsi="Times New Roman"/>
          <w:sz w:val="18"/>
          <w:szCs w:val="18"/>
          <w:b w:val="1"/>
          <w:bCs w:val="1"/>
          <w:color w:val="auto"/>
        </w:rPr>
        <w:t>Sales Agreement</w:t>
      </w:r>
      <w:r>
        <w:rPr>
          <w:rFonts w:ascii="Times New Roman" w:cs="Times New Roman" w:eastAsia="Times New Roman" w:hAnsi="Times New Roman"/>
          <w:sz w:val="18"/>
          <w:szCs w:val="18"/>
          <w:color w:val="auto"/>
        </w:rPr>
        <w:t>”), that to the knowledge of the undersigned:</w:t>
      </w:r>
    </w:p>
    <w:p>
      <w:pPr>
        <w:spacing w:after="0" w:line="175" w:lineRule="exact"/>
        <w:rPr>
          <w:sz w:val="20"/>
          <w:szCs w:val="20"/>
          <w:color w:val="auto"/>
        </w:rPr>
      </w:pPr>
    </w:p>
    <w:p>
      <w:pPr>
        <w:ind w:firstLine="449"/>
        <w:spacing w:after="0" w:line="261" w:lineRule="auto"/>
        <w:tabs>
          <w:tab w:leader="none" w:pos="65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the Sales Agreement are true and correct on and as of the date hereof with the same force and effect as if expressly made on and as of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such representations and warranties are qualified by the disclosure included or incorporated by reference in the Registration Statement and Prospectus (including any documents incorporated by reference therein and any supplements thereto); and</w:t>
      </w:r>
    </w:p>
    <w:p>
      <w:pPr>
        <w:spacing w:after="0" w:line="179" w:lineRule="exact"/>
        <w:rPr>
          <w:rFonts w:ascii="Times New Roman" w:cs="Times New Roman" w:eastAsia="Times New Roman" w:hAnsi="Times New Roman"/>
          <w:sz w:val="18"/>
          <w:szCs w:val="18"/>
          <w:color w:val="auto"/>
        </w:rPr>
      </w:pPr>
    </w:p>
    <w:p>
      <w:pPr>
        <w:ind w:right="620" w:firstLine="449"/>
        <w:spacing w:after="0" w:line="282" w:lineRule="auto"/>
        <w:tabs>
          <w:tab w:leader="none" w:pos="70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agreements and satisfied all conditions on its part to be performed or satisfied pursuant to the Sales Agreement at or prior to the date hereof.</w:t>
      </w:r>
    </w:p>
    <w:p>
      <w:pPr>
        <w:spacing w:after="0" w:line="162"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Cooley LLP, Goodwin Procter LLP, Hogan Lovells (Paris) LLP, and Gide Loyrette Nouel A.A.R.P.I are entitled to rely on this certificate in connection with the respective opinions such firms are rendering pursuant to the Sales Agreement. Capitalized terms used herein without definition shall have the meanings given to such terms in the Sales Agreement.</w:t>
      </w:r>
    </w:p>
    <w:p>
      <w:pPr>
        <w:spacing w:after="0" w:line="1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VALNEVA SE</w:t>
      </w:r>
    </w:p>
    <w:p>
      <w:pPr>
        <w:spacing w:after="0" w:line="24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3686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792" w:right="459" w:bottom="1440" w:gutter="0" w:footer="0" w:header="0"/>
        </w:sectPr>
      </w:pPr>
    </w:p>
    <w:bookmarkStart w:id="56" w:name="page57"/>
    <w:bookmarkEnd w:id="56"/>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Notice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Lingelbach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Bühler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Magarro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Dustin Tyner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Valneva SE 6-K</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814070" cy="8058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1407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15, 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Valneva 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rue Alain Bombard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44800 Saint-Herblain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3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$75,000,000 of American Depositary Shares to be Offered Pursuant to the Sales Agreement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acting as special French counsel for Valneva SE, a European company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issuance and sale by the Company of $75,000,000 aggregate offering price of ordinary shares, nominal value €0.15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of the Company (the “</w:t>
      </w:r>
      <w:r>
        <w:rPr>
          <w:rFonts w:ascii="Times New Roman" w:cs="Times New Roman" w:eastAsia="Times New Roman" w:hAnsi="Times New Roman"/>
          <w:sz w:val="18"/>
          <w:szCs w:val="18"/>
          <w:u w:val="single" w:color="auto"/>
          <w:color w:val="auto"/>
        </w:rPr>
        <w:t>Underlying Shares</w:t>
      </w:r>
      <w:r>
        <w:rPr>
          <w:rFonts w:ascii="Times New Roman" w:cs="Times New Roman" w:eastAsia="Times New Roman" w:hAnsi="Times New Roman"/>
          <w:sz w:val="18"/>
          <w:szCs w:val="18"/>
          <w:color w:val="auto"/>
        </w:rPr>
        <w:t>”), which Underlying Shares shall be delivered in the form of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each ADS representing two Ordinary Shares. The Underlying Shares will be issued and sold pursuant to the Open Market Sale Agreement with Jefferies LLC (the “</w:t>
      </w:r>
      <w:r>
        <w:rPr>
          <w:rFonts w:ascii="Times New Roman" w:cs="Times New Roman" w:eastAsia="Times New Roman" w:hAnsi="Times New Roman"/>
          <w:sz w:val="18"/>
          <w:szCs w:val="18"/>
          <w:u w:val="single" w:color="auto"/>
          <w:color w:val="auto"/>
        </w:rPr>
        <w:t>Sales Agent</w:t>
      </w:r>
      <w:r>
        <w:rPr>
          <w:rFonts w:ascii="Times New Roman" w:cs="Times New Roman" w:eastAsia="Times New Roman" w:hAnsi="Times New Roman"/>
          <w:sz w:val="18"/>
          <w:szCs w:val="18"/>
          <w:color w:val="auto"/>
        </w:rPr>
        <w:t>”) dated August 12, 2022 (the “</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 The Underlying Shares may be offered and sold from time to time pursuant to Rule 415 under the Securities Act of 1933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in accordance with the terms of the Sales Agreement. The ADSs will be issued pursuant to the Deposit Agreement, dated as of May 10, 2021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by and among the Company, Citibank, N.A.,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and beneficial owners from time to time of ADSs issued thereunder.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opinion expressed herein, we have examined such documents, records and matters of law as we have deemed relevant or necessary for purposes of such opinion. Based upon the foregoing, and subject to the further assumptions, qualifications and limitations set forth herein, we are of the opinion that the Underlying Shares, when issued and delivered pursuant to the terms of the Sales Agreement against full payment of their subscription price as provided in the Sales Agreement, will be validly issued, fully paid and non-assessable.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rendering the opinion above, we have assumed that (i) the shareholders’ resolutions authorizing the Company to issue the Underlying Shares pursuant to the Sales Agreement will be in full force and effect at all times at which the Underlying Shares are issued and delivered or sold by the Company, and the Company will take no action inconsistent with such resolutions, and (ii) the timing of, the terms of, and the consideration for each issuance of Underlying Shares by the Company under the Sales Agreement will be decided by the Management Board (</w:t>
      </w:r>
      <w:r>
        <w:rPr>
          <w:rFonts w:ascii="Times New Roman" w:cs="Times New Roman" w:eastAsia="Times New Roman" w:hAnsi="Times New Roman"/>
          <w:sz w:val="18"/>
          <w:szCs w:val="18"/>
          <w:i w:val="1"/>
          <w:iCs w:val="1"/>
          <w:color w:val="auto"/>
        </w:rPr>
        <w:t>Directoire</w:t>
      </w:r>
      <w:r>
        <w:rPr>
          <w:rFonts w:ascii="Times New Roman" w:cs="Times New Roman" w:eastAsia="Times New Roman" w:hAnsi="Times New Roman"/>
          <w:sz w:val="18"/>
          <w:szCs w:val="18"/>
          <w:color w:val="auto"/>
        </w:rPr>
        <w:t>) of the Company, or by the Chairman of the Management Board (</w:t>
      </w:r>
      <w:r>
        <w:rPr>
          <w:rFonts w:ascii="Times New Roman" w:cs="Times New Roman" w:eastAsia="Times New Roman" w:hAnsi="Times New Roman"/>
          <w:sz w:val="18"/>
          <w:szCs w:val="18"/>
          <w:i w:val="1"/>
          <w:iCs w:val="1"/>
          <w:color w:val="auto"/>
        </w:rPr>
        <w:t>Président du Directoire</w:t>
      </w:r>
      <w:r>
        <w:rPr>
          <w:rFonts w:ascii="Times New Roman" w:cs="Times New Roman" w:eastAsia="Times New Roman" w:hAnsi="Times New Roman"/>
          <w:sz w:val="18"/>
          <w:szCs w:val="18"/>
          <w:color w:val="auto"/>
        </w:rPr>
        <w:t>) of the Company pursuant to a delegation of authority of the Management Board, in each case in accordance with such shareholders’ resolutions.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“non-assessable”, which has no recognized meaning in French law, for the purposes of this opinion means that no present or future holder of ordinary shares will be subject to personal liability, by reason of being such a holder, for additional payments or calls for further funds by the Company or any other person after the issuance of the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814070" cy="8058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81407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members of the Paris bar and this opinion is limited to the laws of the Republic of France as currently in effect. This opinion is subject to the sovereign power of the French courts to interpret agreements and assess the facts and circumstances of any adjudication.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Current Report on Form 6-K, dated the date hereof, filed by the Company and incorporated by reference into the Registration Statement on Form F-3 (Registration No. 333-266839)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by the Company to effect the registration of the Underlying Shares under the Act and to the reference to Hogan Lovells Paris LLP under the caption “Legal Matters” in each of the prospectus and the prospectus supplement thereto constituting a part of such Registration Statement. In giving such consent, we do not thereby admit that we are included in the category of persons whose consent is required under Section 7 of the Securities Act or the rules and regulations of the Securities and Exchange Commission promulgated thereunder.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is given on the basis that it is to be governed by, and construed in accordance with, the laws of the Republic of France.</w:t>
      </w:r>
    </w:p>
    <w:p>
      <w:pPr>
        <w:spacing w:after="0" w:line="200" w:lineRule="exact"/>
        <w:rPr>
          <w:sz w:val="20"/>
          <w:szCs w:val="20"/>
          <w:color w:val="auto"/>
        </w:rPr>
      </w:pPr>
    </w:p>
    <w:p>
      <w:pPr>
        <w:spacing w:after="0" w:line="24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1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Hogan Lovells Paris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Valneva SE 6-K</w:t>
      </w:r>
    </w:p>
    <w:p>
      <w:pPr>
        <w:spacing w:after="0" w:line="239"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4" w:lineRule="exact"/>
        <w:rPr>
          <w:sz w:val="20"/>
          <w:szCs w:val="20"/>
          <w:color w:val="auto"/>
        </w:rPr>
      </w:pPr>
    </w:p>
    <w:p>
      <w:pPr>
        <w:jc w:val="both"/>
        <w:ind w:firstLine="8"/>
        <w:spacing w:after="0" w:line="268" w:lineRule="auto"/>
        <w:tabs>
          <w:tab w:leader="none" w:pos="485"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Private &amp; Confidential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SETTLEMENT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is made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etween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hanging="632"/>
        <w:spacing w:after="0" w:line="286" w:lineRule="auto"/>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Valneva Austria GMBH</w:t>
      </w:r>
      <w:r>
        <w:rPr>
          <w:rFonts w:ascii="Times New Roman" w:cs="Times New Roman" w:eastAsia="Times New Roman" w:hAnsi="Times New Roman"/>
          <w:sz w:val="18"/>
          <w:szCs w:val="18"/>
          <w:color w:val="auto"/>
        </w:rPr>
        <w:t>, a company registered in Austria (company number FN 389960 x /HG Wien) whose registered address is at Campus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Vienna Biocenter 3,1030 Vienna, Austria (“</w:t>
      </w:r>
      <w:r>
        <w:rPr>
          <w:rFonts w:ascii="Times New Roman" w:cs="Times New Roman" w:eastAsia="Times New Roman" w:hAnsi="Times New Roman"/>
          <w:sz w:val="18"/>
          <w:szCs w:val="18"/>
          <w:b w:val="1"/>
          <w:bCs w:val="1"/>
          <w:color w:val="auto"/>
        </w:rPr>
        <w:t>Valneva</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40" w:right="20" w:hanging="632"/>
        <w:spacing w:after="0" w:line="286" w:lineRule="auto"/>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Valneva S.E.</w:t>
      </w:r>
      <w:r>
        <w:rPr>
          <w:rFonts w:ascii="Times New Roman" w:cs="Times New Roman" w:eastAsia="Times New Roman" w:hAnsi="Times New Roman"/>
          <w:sz w:val="18"/>
          <w:szCs w:val="18"/>
          <w:color w:val="auto"/>
        </w:rPr>
        <w:t>, a company registered in France (company number 422,497,560) whose registered address is at 6 rue Alain Bombard 44800 Saint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Herblain, France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together with Valneva (the “</w:t>
      </w:r>
      <w:r>
        <w:rPr>
          <w:rFonts w:ascii="Times New Roman" w:cs="Times New Roman" w:eastAsia="Times New Roman" w:hAnsi="Times New Roman"/>
          <w:sz w:val="18"/>
          <w:szCs w:val="18"/>
          <w:b w:val="1"/>
          <w:bCs w:val="1"/>
          <w:color w:val="auto"/>
        </w:rPr>
        <w:t>Valneva Parties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40" w:right="20" w:hanging="632"/>
        <w:spacing w:after="0" w:line="286" w:lineRule="auto"/>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Secretary of State for Business, Energy and Industrial Strategy</w:t>
      </w:r>
      <w:r>
        <w:rPr>
          <w:rFonts w:ascii="Times New Roman" w:cs="Times New Roman" w:eastAsia="Times New Roman" w:hAnsi="Times New Roman"/>
          <w:sz w:val="18"/>
          <w:szCs w:val="18"/>
          <w:color w:val="auto"/>
        </w:rPr>
        <w:t>, acting on behalf of the Crown, whose principal office is at 1 Victoria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Street, London, SW1H 0ET (“</w:t>
      </w:r>
      <w:r>
        <w:rPr>
          <w:rFonts w:ascii="Times New Roman" w:cs="Times New Roman" w:eastAsia="Times New Roman" w:hAnsi="Times New Roman"/>
          <w:sz w:val="18"/>
          <w:szCs w:val="18"/>
          <w:b w:val="1"/>
          <w:bCs w:val="1"/>
          <w:color w:val="auto"/>
        </w:rPr>
        <w:t>BEIS</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640" w:right="20" w:hanging="632"/>
        <w:spacing w:after="0" w:line="286" w:lineRule="auto"/>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Secretary of State for Health and Social Care</w:t>
      </w:r>
      <w:r>
        <w:rPr>
          <w:rFonts w:ascii="Times New Roman" w:cs="Times New Roman" w:eastAsia="Times New Roman" w:hAnsi="Times New Roman"/>
          <w:sz w:val="18"/>
          <w:szCs w:val="18"/>
          <w:color w:val="auto"/>
        </w:rPr>
        <w:t>, acting on behalf of the Crown, whose registered address is at 39 Victoria Street,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Westminster, London SW1H 0EU (“</w:t>
      </w:r>
      <w:r>
        <w:rPr>
          <w:rFonts w:ascii="Times New Roman" w:cs="Times New Roman" w:eastAsia="Times New Roman" w:hAnsi="Times New Roman"/>
          <w:sz w:val="18"/>
          <w:szCs w:val="18"/>
          <w:b w:val="1"/>
          <w:bCs w:val="1"/>
          <w:color w:val="auto"/>
        </w:rPr>
        <w:t>DHSC</w:t>
      </w:r>
      <w:r>
        <w:rPr>
          <w:rFonts w:ascii="Times New Roman" w:cs="Times New Roman" w:eastAsia="Times New Roman" w:hAnsi="Times New Roman"/>
          <w:sz w:val="18"/>
          <w:szCs w:val="18"/>
          <w:color w:val="auto"/>
        </w:rPr>
        <w:t>”) and together with BEIS (the “</w:t>
      </w:r>
      <w:r>
        <w:rPr>
          <w:rFonts w:ascii="Times New Roman" w:cs="Times New Roman" w:eastAsia="Times New Roman" w:hAnsi="Times New Roman"/>
          <w:sz w:val="18"/>
          <w:szCs w:val="18"/>
          <w:b w:val="1"/>
          <w:bCs w:val="1"/>
          <w:color w:val="auto"/>
        </w:rPr>
        <w:t>Government Parties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ackground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40" w:hanging="632"/>
        <w:spacing w:after="0" w:line="266" w:lineRule="auto"/>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13 September 2020, one or more of the Parties entered into a series of arrangements for, amongst other things, the development, manufacture and supply of a vaccine to target and vaccinate humans against infections caused by the SARS-CoV-2 virus (“</w:t>
      </w:r>
      <w:r>
        <w:rPr>
          <w:rFonts w:ascii="Times New Roman" w:cs="Times New Roman" w:eastAsia="Times New Roman" w:hAnsi="Times New Roman"/>
          <w:sz w:val="18"/>
          <w:szCs w:val="18"/>
          <w:b w:val="1"/>
          <w:bCs w:val="1"/>
          <w:color w:val="auto"/>
        </w:rPr>
        <w:t>Vaccine</w:t>
      </w:r>
      <w:r>
        <w:rPr>
          <w:rFonts w:ascii="Times New Roman" w:cs="Times New Roman" w:eastAsia="Times New Roman" w:hAnsi="Times New Roman"/>
          <w:sz w:val="18"/>
          <w:szCs w:val="18"/>
          <w:color w:val="auto"/>
        </w:rPr>
        <w:t>”) which included Valneva upgrading and validating existing and new manufacturing facilities. These arrangements included, without limitation:</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supply agreement entered into between Valneva and BEIS dated 13 September 2020, as amended on 17 December 2020 and 30 January 2021 (the “</w:t>
      </w:r>
      <w:r>
        <w:rPr>
          <w:rFonts w:ascii="Times New Roman" w:cs="Times New Roman" w:eastAsia="Times New Roman" w:hAnsi="Times New Roman"/>
          <w:sz w:val="18"/>
          <w:szCs w:val="18"/>
          <w:b w:val="1"/>
          <w:bCs w:val="1"/>
          <w:color w:val="auto"/>
        </w:rPr>
        <w:t>Supply Agreement</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in respect of Covid-19 UK-based clinical trials entered into between Valneva and DHSC on 13 September 2020 (the “</w:t>
      </w:r>
      <w:r>
        <w:rPr>
          <w:rFonts w:ascii="Times New Roman" w:cs="Times New Roman" w:eastAsia="Times New Roman" w:hAnsi="Times New Roman"/>
          <w:sz w:val="18"/>
          <w:szCs w:val="18"/>
          <w:b w:val="1"/>
          <w:bCs w:val="1"/>
          <w:color w:val="auto"/>
        </w:rPr>
        <w:t>CTA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deed of guarantee entered into between the Parent and BEIS with respect to the Supply Agreement and the CTA (the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10 September 2021, BEIS served effective notices (the “</w:t>
      </w:r>
      <w:r>
        <w:rPr>
          <w:rFonts w:ascii="Times New Roman" w:cs="Times New Roman" w:eastAsia="Times New Roman" w:hAnsi="Times New Roman"/>
          <w:sz w:val="18"/>
          <w:szCs w:val="18"/>
          <w:b w:val="1"/>
          <w:bCs w:val="1"/>
          <w:color w:val="auto"/>
        </w:rPr>
        <w:t>Termination Notice</w:t>
      </w:r>
      <w:r>
        <w:rPr>
          <w:rFonts w:ascii="Times New Roman" w:cs="Times New Roman" w:eastAsia="Times New Roman" w:hAnsi="Times New Roman"/>
          <w:sz w:val="18"/>
          <w:szCs w:val="18"/>
          <w:color w:val="auto"/>
        </w:rPr>
        <w:t>”) on Valneva and the Parent terminating the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21"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Private &amp; Confidential</w:t>
      </w:r>
    </w:p>
    <w:p>
      <w:pPr>
        <w:spacing w:after="0" w:line="229" w:lineRule="exact"/>
        <w:rPr>
          <w:sz w:val="20"/>
          <w:szCs w:val="20"/>
          <w:color w:val="auto"/>
        </w:rPr>
      </w:pPr>
    </w:p>
    <w:p>
      <w:pPr>
        <w:ind w:left="640" w:hanging="632"/>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dispute and/or disagreement has arisen between the Parties concerning:</w:t>
      </w:r>
    </w:p>
    <w:p>
      <w:pPr>
        <w:spacing w:after="0" w:line="221" w:lineRule="exact"/>
        <w:rPr>
          <w:rFonts w:ascii="Times New Roman" w:cs="Times New Roman" w:eastAsia="Times New Roman" w:hAnsi="Times New Roman"/>
          <w:sz w:val="18"/>
          <w:szCs w:val="18"/>
          <w:color w:val="auto"/>
        </w:rPr>
      </w:pPr>
    </w:p>
    <w:p>
      <w:pPr>
        <w:ind w:left="1420" w:hanging="440"/>
        <w:spacing w:after="0"/>
        <w:tabs>
          <w:tab w:leader="none" w:pos="14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sets out the terms on which the Parties have agreed the full and final settlement of the Dispute.</w:t>
      </w:r>
    </w:p>
    <w:p>
      <w:pPr>
        <w:spacing w:after="0" w:line="229"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particular, the parties have agreed that, in consideration for the waiver of all claims in respect of [***] the royalty provisions of the Supply Agreement will be amended such that the total [***] shall, in respect of Relevant Non-UK Sales (as defined below), not be payable to BEIS by Valneva and shall instead be applied as Government Advance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 is agreed that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40" w:hanging="632"/>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 and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nterpretation</w:t>
      </w:r>
    </w:p>
    <w:p>
      <w:pPr>
        <w:spacing w:after="0" w:line="227" w:lineRule="exact"/>
        <w:rPr>
          <w:sz w:val="20"/>
          <w:szCs w:val="20"/>
          <w:color w:val="auto"/>
        </w:rPr>
      </w:pPr>
    </w:p>
    <w:p>
      <w:pPr>
        <w:ind w:left="640" w:hanging="633"/>
        <w:spacing w:after="0" w:line="284" w:lineRule="auto"/>
        <w:tabs>
          <w:tab w:leader="none" w:pos="6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Capitalised terms defined in Clause 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of the Supply Agreement shall have the same meanings when used in this Agreement except where the context otherwise requires or where the same capitalised term is otherwise defined in this Agreement.</w:t>
      </w:r>
    </w:p>
    <w:p>
      <w:pPr>
        <w:spacing w:after="0" w:line="16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 following words and expressions shall have the following meanings in this Agreement:</w:t>
      </w:r>
    </w:p>
    <w:p>
      <w:pPr>
        <w:spacing w:after="0" w:line="221" w:lineRule="exact"/>
        <w:rPr>
          <w:sz w:val="20"/>
          <w:szCs w:val="20"/>
          <w:color w:val="auto"/>
        </w:rPr>
      </w:pPr>
    </w:p>
    <w:p>
      <w:pPr>
        <w:jc w:val="both"/>
        <w:ind w:left="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Related Parties</w:t>
      </w:r>
      <w:r>
        <w:rPr>
          <w:rFonts w:ascii="Times New Roman" w:cs="Times New Roman" w:eastAsia="Times New Roman" w:hAnsi="Times New Roman"/>
          <w:sz w:val="18"/>
          <w:szCs w:val="18"/>
          <w:color w:val="auto"/>
        </w:rPr>
        <w:t>” means all Central Government Bodies (and each of their respective officers, directors, employees, contractors and consultants) and ministers of Her Majesty's Government of the United Kingdom.</w:t>
      </w:r>
    </w:p>
    <w:p>
      <w:pPr>
        <w:spacing w:after="0" w:line="155"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Liability</w:t>
      </w:r>
      <w:r>
        <w:rPr>
          <w:rFonts w:ascii="Times New Roman" w:cs="Times New Roman" w:eastAsia="Times New Roman" w:hAnsi="Times New Roman"/>
          <w:sz w:val="18"/>
          <w:szCs w:val="18"/>
          <w:color w:val="auto"/>
        </w:rPr>
        <w:t>” means any demand, liability, damage, cost, obligation, complaint, claim, counterclaim, right of set-off, right to net, indemnity, right of contribution, cause of action (including, without limitation, in negligence or based on fraud), administrative, regulatory claim or infraction, petition, right or interest of any kind or nature whatsoever, whether in law or equity, direct or indirect, joint or several, foreseen or unforeseen, contingent or actual, accrued or unaccrued, liquidated or unliquidated, present or future, known or unknown, disclosed or undisclosed, suspected or unsuspected, however and whenever arising and in whatever capacity and jurisdiction;</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means Government Related Parties and Valneva Related Parties, respectively.</w:t>
      </w:r>
    </w:p>
    <w:p>
      <w:pPr>
        <w:spacing w:after="0" w:line="225" w:lineRule="exact"/>
        <w:rPr>
          <w:sz w:val="20"/>
          <w:szCs w:val="20"/>
          <w:color w:val="auto"/>
        </w:rPr>
      </w:pPr>
    </w:p>
    <w:p>
      <w:pPr>
        <w:jc w:val="both"/>
        <w:ind w:left="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Vaccine Project</w:t>
      </w:r>
      <w:r>
        <w:rPr>
          <w:rFonts w:ascii="Times New Roman" w:cs="Times New Roman" w:eastAsia="Times New Roman" w:hAnsi="Times New Roman"/>
          <w:sz w:val="18"/>
          <w:szCs w:val="18"/>
          <w:color w:val="auto"/>
        </w:rPr>
        <w:t>” means the arrangements, including the agreements and negotiations, described and defined in recital (A) above.</w:t>
      </w:r>
    </w:p>
    <w:p>
      <w:pPr>
        <w:spacing w:after="0" w:line="225" w:lineRule="exact"/>
        <w:rPr>
          <w:sz w:val="20"/>
          <w:szCs w:val="20"/>
          <w:color w:val="auto"/>
        </w:rPr>
      </w:pPr>
    </w:p>
    <w:p>
      <w:pPr>
        <w:jc w:val="both"/>
        <w:ind w:left="640"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Valneva Related Parties</w:t>
      </w:r>
      <w:r>
        <w:rPr>
          <w:rFonts w:ascii="Times New Roman" w:cs="Times New Roman" w:eastAsia="Times New Roman" w:hAnsi="Times New Roman"/>
          <w:sz w:val="18"/>
          <w:szCs w:val="18"/>
          <w:color w:val="auto"/>
        </w:rPr>
        <w:t>” means (i) Valneva’s subsidiaries and Affiliates, (ii) the Parent’s subsidiaries and affiliates (with affiliates having the same meaning as the defined term Affiliate as if the word “Valneva” were substituted for the word “Parent”), and in each case those entities’ officers, directors, respective employees, contractors and consultants.</w:t>
      </w:r>
    </w:p>
    <w:p>
      <w:pPr>
        <w:spacing w:after="0" w:line="171" w:lineRule="exact"/>
        <w:rPr>
          <w:sz w:val="20"/>
          <w:szCs w:val="20"/>
          <w:color w:val="auto"/>
        </w:rPr>
      </w:pPr>
    </w:p>
    <w:p>
      <w:pPr>
        <w:ind w:left="640" w:hanging="632"/>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ffect of this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Agreement shall be effective from 15 June 2022 (the “</w:t>
      </w:r>
      <w:r>
        <w:rPr>
          <w:rFonts w:ascii="Times New Roman" w:cs="Times New Roman" w:eastAsia="Times New Roman" w:hAnsi="Times New Roman"/>
          <w:sz w:val="18"/>
          <w:szCs w:val="18"/>
          <w:b w:val="1"/>
          <w:bCs w:val="1"/>
          <w:color w:val="auto"/>
        </w:rPr>
        <w:t>Settlement Effective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both"/>
        <w:ind w:firstLine="8"/>
        <w:spacing w:after="0" w:line="268" w:lineRule="auto"/>
        <w:tabs>
          <w:tab w:leader="none" w:pos="485"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21"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Private &amp; Confidential</w:t>
      </w:r>
    </w:p>
    <w:p>
      <w:pPr>
        <w:spacing w:after="0" w:line="225" w:lineRule="exact"/>
        <w:rPr>
          <w:sz w:val="20"/>
          <w:szCs w:val="20"/>
          <w:color w:val="auto"/>
        </w:rPr>
      </w:pPr>
    </w:p>
    <w:p>
      <w:pPr>
        <w:ind w:left="640" w:hanging="632"/>
        <w:spacing w:after="0"/>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upply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29"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parties acknowledge and agree that the Supply Agreement has terminated and shall be of no further effect save that Clauses 1 (in respect of any definition which is used in any of the following provisions), 7.8, 7.11, 7.12, 14 (to the extent payments are or become due to BEIS) 15.4, 16, 20, 22, 26.1.4, 26.3 and 31 of the Supply Agreement shall remain in full force and effect subject to clause 3.2 below.</w:t>
      </w:r>
    </w:p>
    <w:p>
      <w:pPr>
        <w:spacing w:after="0" w:line="176"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In consideration for the full and final settlement of all claims by the parties in accordance with clause 5 below, Clause 7.12 of the Supply Agreement shall be deleted in its entirety and replaced by the following:</w:t>
      </w:r>
    </w:p>
    <w:p>
      <w:pPr>
        <w:spacing w:after="0" w:line="160" w:lineRule="exact"/>
        <w:rPr>
          <w:sz w:val="20"/>
          <w:szCs w:val="20"/>
          <w:color w:val="auto"/>
        </w:rPr>
      </w:pPr>
    </w:p>
    <w:p>
      <w:pPr>
        <w:jc w:val="both"/>
        <w:ind w:left="6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calculations (and, where relevant, payments and accruals) shall be made with respect to the royalties and the net sales made by or on behalf of Valneva, its Affiliates, licensees and successors in interest, of the Product to non-UK customers of the Product manufactured using the Facilities (“</w:t>
      </w:r>
      <w:r>
        <w:rPr>
          <w:rFonts w:ascii="Times New Roman" w:cs="Times New Roman" w:eastAsia="Times New Roman" w:hAnsi="Times New Roman"/>
          <w:sz w:val="18"/>
          <w:szCs w:val="18"/>
          <w:b w:val="1"/>
          <w:bCs w:val="1"/>
          <w:i w:val="1"/>
          <w:iCs w:val="1"/>
          <w:color w:val="auto"/>
        </w:rPr>
        <w:t>Relevant Non-UK Sales</w:t>
      </w:r>
      <w:r>
        <w:rPr>
          <w:rFonts w:ascii="Times New Roman" w:cs="Times New Roman" w:eastAsia="Times New Roman" w:hAnsi="Times New Roman"/>
          <w:sz w:val="18"/>
          <w:szCs w:val="18"/>
          <w:i w:val="1"/>
          <w:iCs w:val="1"/>
          <w:color w:val="auto"/>
        </w:rPr>
        <w:t>”):</w:t>
      </w:r>
    </w:p>
    <w:p>
      <w:pPr>
        <w:spacing w:after="0" w:line="173" w:lineRule="exact"/>
        <w:rPr>
          <w:sz w:val="20"/>
          <w:szCs w:val="20"/>
          <w:color w:val="auto"/>
        </w:rPr>
      </w:pPr>
    </w:p>
    <w:p>
      <w:pPr>
        <w:ind w:left="1280" w:hanging="638"/>
        <w:spacing w:after="0"/>
        <w:tabs>
          <w:tab w:leader="none" w:pos="1280" w:val="left"/>
        </w:tabs>
        <w:numPr>
          <w:ilvl w:val="1"/>
          <w:numId w:val="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respect of the amount of net sales from Relevant Non-UK Sales made up to the value of [***]:</w:t>
      </w:r>
    </w:p>
    <w:p>
      <w:pPr>
        <w:spacing w:after="0" w:line="225" w:lineRule="exact"/>
        <w:rPr>
          <w:rFonts w:ascii="Times New Roman" w:cs="Times New Roman" w:eastAsia="Times New Roman" w:hAnsi="Times New Roman"/>
          <w:sz w:val="18"/>
          <w:szCs w:val="18"/>
          <w:i w:val="1"/>
          <w:iCs w:val="1"/>
          <w:color w:val="auto"/>
        </w:rPr>
      </w:pPr>
    </w:p>
    <w:p>
      <w:pPr>
        <w:ind w:left="1920" w:hanging="643"/>
        <w:spacing w:after="0"/>
        <w:tabs>
          <w:tab w:leader="none" w:pos="1920" w:val="left"/>
        </w:tabs>
        <w:numPr>
          <w:ilvl w:val="2"/>
          <w:numId w:val="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 royalty shall be payable to the Authority in respect of such portion of Relevant Non-UK Sales, and</w:t>
      </w:r>
    </w:p>
    <w:p>
      <w:pPr>
        <w:spacing w:after="0" w:line="225" w:lineRule="exact"/>
        <w:rPr>
          <w:rFonts w:ascii="Times New Roman" w:cs="Times New Roman" w:eastAsia="Times New Roman" w:hAnsi="Times New Roman"/>
          <w:sz w:val="18"/>
          <w:szCs w:val="18"/>
          <w:i w:val="1"/>
          <w:iCs w:val="1"/>
          <w:color w:val="auto"/>
        </w:rPr>
      </w:pPr>
    </w:p>
    <w:p>
      <w:pPr>
        <w:jc w:val="both"/>
        <w:ind w:left="1920" w:hanging="643"/>
        <w:spacing w:after="0" w:line="258" w:lineRule="auto"/>
        <w:tabs>
          <w:tab w:leader="none" w:pos="1920" w:val="left"/>
        </w:tabs>
        <w:numPr>
          <w:ilvl w:val="2"/>
          <w:numId w:val="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consideration of no royalties being payable on such portion of Relevant Non-UK Sales as provided for under (i), an amount equal to [***] (being [***] per cent of the Relevant Non-UK Sales) shall accrue and credit to and be added to the specified amount calculated in accordance with Clause 7.11 and the definition of Government Advance Payment (for the purposes of Clause 16 as if, in each case, such amount was paid by the Authority to Valneva pursuant to the Supply Agreement) (such amount being the “</w:t>
      </w:r>
      <w:r>
        <w:rPr>
          <w:rFonts w:ascii="Times New Roman" w:cs="Times New Roman" w:eastAsia="Times New Roman" w:hAnsi="Times New Roman"/>
          <w:sz w:val="18"/>
          <w:szCs w:val="18"/>
          <w:b w:val="1"/>
          <w:bCs w:val="1"/>
          <w:i w:val="1"/>
          <w:iCs w:val="1"/>
          <w:color w:val="auto"/>
        </w:rPr>
        <w:t>Accrued Amount</w:t>
      </w:r>
      <w:r>
        <w:rPr>
          <w:rFonts w:ascii="Times New Roman" w:cs="Times New Roman" w:eastAsia="Times New Roman" w:hAnsi="Times New Roman"/>
          <w:sz w:val="18"/>
          <w:szCs w:val="18"/>
          <w:i w:val="1"/>
          <w:iCs w:val="1"/>
          <w:color w:val="auto"/>
        </w:rPr>
        <w:t>”);</w:t>
      </w:r>
    </w:p>
    <w:p>
      <w:pPr>
        <w:spacing w:after="0" w:line="183" w:lineRule="exact"/>
        <w:rPr>
          <w:rFonts w:ascii="Times New Roman" w:cs="Times New Roman" w:eastAsia="Times New Roman" w:hAnsi="Times New Roman"/>
          <w:sz w:val="18"/>
          <w:szCs w:val="18"/>
          <w:i w:val="1"/>
          <w:iCs w:val="1"/>
          <w:color w:val="auto"/>
        </w:rPr>
      </w:pPr>
    </w:p>
    <w:p>
      <w:pPr>
        <w:ind w:left="1280" w:hanging="638"/>
        <w:spacing w:after="0" w:line="284" w:lineRule="auto"/>
        <w:tabs>
          <w:tab w:leader="none" w:pos="1280" w:val="left"/>
        </w:tabs>
        <w:numPr>
          <w:ilvl w:val="1"/>
          <w:numId w:val="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respect of any amount of net sales from Relevant Non-UK Sales which exceed [***] but do not exceed [***], Valneva will pay a royalty to the Authority at a rate of [***] percent;</w:t>
      </w:r>
    </w:p>
    <w:p>
      <w:pPr>
        <w:spacing w:after="0" w:line="158" w:lineRule="exact"/>
        <w:rPr>
          <w:rFonts w:ascii="Times New Roman" w:cs="Times New Roman" w:eastAsia="Times New Roman" w:hAnsi="Times New Roman"/>
          <w:sz w:val="18"/>
          <w:szCs w:val="18"/>
          <w:i w:val="1"/>
          <w:iCs w:val="1"/>
          <w:color w:val="auto"/>
        </w:rPr>
      </w:pPr>
    </w:p>
    <w:p>
      <w:pPr>
        <w:ind w:left="1280" w:hanging="638"/>
        <w:spacing w:after="0" w:line="284" w:lineRule="auto"/>
        <w:tabs>
          <w:tab w:leader="none" w:pos="1280" w:val="left"/>
        </w:tabs>
        <w:numPr>
          <w:ilvl w:val="1"/>
          <w:numId w:val="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no event will the aggregate of the Accrued Amounts under Clause 7.12(a) and the royalties paid under Clause 7.12(b) exceed EUR 100m;</w:t>
      </w:r>
    </w:p>
    <w:p>
      <w:pPr>
        <w:spacing w:after="0" w:line="158" w:lineRule="exact"/>
        <w:rPr>
          <w:rFonts w:ascii="Times New Roman" w:cs="Times New Roman" w:eastAsia="Times New Roman" w:hAnsi="Times New Roman"/>
          <w:sz w:val="18"/>
          <w:szCs w:val="18"/>
          <w:i w:val="1"/>
          <w:iCs w:val="1"/>
          <w:color w:val="auto"/>
        </w:rPr>
      </w:pPr>
    </w:p>
    <w:p>
      <w:pPr>
        <w:jc w:val="both"/>
        <w:ind w:left="1280" w:right="20" w:hanging="638"/>
        <w:spacing w:after="0" w:line="267" w:lineRule="auto"/>
        <w:tabs>
          <w:tab w:leader="none" w:pos="1280" w:val="left"/>
        </w:tabs>
        <w:numPr>
          <w:ilvl w:val="1"/>
          <w:numId w:val="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commencing with the first Relevant Non-UK Sales, Valneva shall thereafter issue reports on a quarterly basis within [***] of the end of the relevant [***] setting out the calculations of the amounts. Such obligation shall continue until the aggregate of the Accrued Amounts under Clause 7.12(a) and all royalties paid under Clause 7.12(b) first reaches EUR 100m.</w:t>
      </w:r>
    </w:p>
    <w:p>
      <w:pPr>
        <w:spacing w:after="0" w:line="173" w:lineRule="exact"/>
        <w:rPr>
          <w:rFonts w:ascii="Times New Roman" w:cs="Times New Roman" w:eastAsia="Times New Roman" w:hAnsi="Times New Roman"/>
          <w:sz w:val="18"/>
          <w:szCs w:val="18"/>
          <w:i w:val="1"/>
          <w:iCs w:val="1"/>
          <w:color w:val="auto"/>
        </w:rPr>
      </w:pPr>
    </w:p>
    <w:p>
      <w:pPr>
        <w:jc w:val="both"/>
        <w:ind w:left="1280" w:hanging="638"/>
        <w:spacing w:after="0" w:line="254" w:lineRule="auto"/>
        <w:tabs>
          <w:tab w:leader="none" w:pos="1280" w:val="left"/>
        </w:tabs>
        <w:numPr>
          <w:ilvl w:val="1"/>
          <w:numId w:val="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 the extent any royalty is payable pursuant to this Clause 7.12 the Authority shall issue an invoice for the royalty due for such preceding [***] and such amount which shall be paid by Valneva within [***] (and the provisions of Clause 14 of the Supply Agreement shall apply mutatis mutandis to such payments). The Authority shall have the right on an [***] basis to have a Third Party accountant audit all records applicable to Relevant Non-UK Sales, net sales, the Accrued Amount and royalties. Should the Accrued Amounts or royalty be underreported by Valneva by more than [***] percent in the applicable period then Valneva shall [***]. Valneva shall procure that the royalties shall be paid on Relevant Non-UK Sales notwithstanding whether the sale was made by or on behalf of it, its Affiliates, licensees or successors in interest. For the purpose of calculating any sums due under this clause 7.12 (including the calculation of Net Sales in Pound Sterling, Euro and currencies other than those), Valneva shall convert any amount expressed in a currency into Pounds Sterling and Euro equivalents using its standard exchange-rate conversion methodology consistent with the accounting standards used by Valneva in the preparation of its annual accounts, and shall report the same to the Authority.</w:t>
      </w:r>
    </w:p>
    <w:p>
      <w:pPr>
        <w:spacing w:after="0" w:line="399" w:lineRule="exact"/>
        <w:rPr>
          <w:rFonts w:ascii="Times New Roman" w:cs="Times New Roman" w:eastAsia="Times New Roman" w:hAnsi="Times New Roman"/>
          <w:sz w:val="18"/>
          <w:szCs w:val="18"/>
          <w:i w:val="1"/>
          <w:iCs w:val="1"/>
          <w:color w:val="auto"/>
        </w:rPr>
      </w:pPr>
    </w:p>
    <w:p>
      <w:pPr>
        <w:jc w:val="both"/>
        <w:ind w:firstLine="8"/>
        <w:spacing w:after="0" w:line="268" w:lineRule="auto"/>
        <w:tabs>
          <w:tab w:leader="none" w:pos="485"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7"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Private &amp; Confidential</w:t>
      </w:r>
    </w:p>
    <w:p>
      <w:pPr>
        <w:spacing w:after="0" w:line="20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Valneva warrants to BEIS at the Settlement Effective Date that [***].</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Parties acknowledge, agree and confirm that:</w:t>
      </w:r>
    </w:p>
    <w:p>
      <w:pPr>
        <w:spacing w:after="0" w:line="225" w:lineRule="exact"/>
        <w:rPr>
          <w:sz w:val="20"/>
          <w:szCs w:val="20"/>
          <w:color w:val="auto"/>
        </w:rPr>
      </w:pPr>
    </w:p>
    <w:p>
      <w:pPr>
        <w:ind w:left="1280" w:hanging="638"/>
        <w:spacing w:after="0"/>
        <w:tabs>
          <w:tab w:leader="none" w:pos="12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7.11 of the Supply Agreement shall apply notwithstanding termination of the Supply Agreement;</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Supply Agreement has triggered application of the provisions of Clause 16;</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BEIS nor DHSC are liable for any VAT on any sums invoiced by Valneva under the Supply Agreement or CTA.</w:t>
      </w:r>
    </w:p>
    <w:p>
      <w:pPr>
        <w:spacing w:after="0" w:line="22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CTA</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Parties acknowledge, agree and confirm that:</w:t>
      </w:r>
    </w:p>
    <w:p>
      <w:pPr>
        <w:spacing w:after="0" w:line="225" w:lineRule="exact"/>
        <w:rPr>
          <w:sz w:val="20"/>
          <w:szCs w:val="20"/>
          <w:color w:val="auto"/>
        </w:rPr>
      </w:pPr>
    </w:p>
    <w:p>
      <w:pPr>
        <w:ind w:left="1280" w:hanging="638"/>
        <w:spacing w:after="0"/>
        <w:tabs>
          <w:tab w:leader="none" w:pos="12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CTA remains in full force and effect on its terms as agreed on 13 September 2020;</w:t>
      </w:r>
    </w:p>
    <w:p>
      <w:pPr>
        <w:spacing w:after="0" w:line="221" w:lineRule="exact"/>
        <w:rPr>
          <w:rFonts w:ascii="Times New Roman" w:cs="Times New Roman" w:eastAsia="Times New Roman" w:hAnsi="Times New Roman"/>
          <w:sz w:val="18"/>
          <w:szCs w:val="18"/>
          <w:color w:val="auto"/>
        </w:rPr>
      </w:pPr>
    </w:p>
    <w:p>
      <w:pPr>
        <w:ind w:left="1280" w:hanging="638"/>
        <w:spacing w:after="0" w:line="286" w:lineRule="auto"/>
        <w:tabs>
          <w:tab w:leader="none" w:pos="12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sums payable [***] by DHSC in respect of the CTA and the clinical trials conducted thereunder [***] (the “</w:t>
      </w:r>
      <w:r>
        <w:rPr>
          <w:rFonts w:ascii="Times New Roman" w:cs="Times New Roman" w:eastAsia="Times New Roman" w:hAnsi="Times New Roman"/>
          <w:sz w:val="18"/>
          <w:szCs w:val="18"/>
          <w:b w:val="1"/>
          <w:bCs w:val="1"/>
          <w:color w:val="auto"/>
        </w:rPr>
        <w:t>Cap</w:t>
      </w:r>
      <w:r>
        <w:rPr>
          <w:rFonts w:ascii="Times New Roman" w:cs="Times New Roman" w:eastAsia="Times New Roman" w:hAnsi="Times New Roman"/>
          <w:sz w:val="18"/>
          <w:szCs w:val="18"/>
          <w:color w:val="auto"/>
        </w:rPr>
        <w:t>”) and there is no obligation, liability or commitment for DHSC or any Government Related Party to pay any sums in excess of the Cap;</w:t>
      </w:r>
    </w:p>
    <w:p>
      <w:pPr>
        <w:spacing w:after="0" w:line="158"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40" w:hanging="632"/>
        <w:spacing w:after="0"/>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elease</w:t>
      </w:r>
    </w:p>
    <w:p>
      <w:pPr>
        <w:spacing w:after="0" w:line="229"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Subject to the amendments to the Supply Agreement in accordance with the terms of Clause 3 above, this Agreement is made in full and final settlement of all claims (and all Liabilities associated therewith) that any Party has or may have against any other Party or any Related Party in respect of the Dispute. Accordingly, subject to the following provisions of this clause:</w:t>
      </w:r>
    </w:p>
    <w:p>
      <w:pPr>
        <w:spacing w:after="0" w:line="176" w:lineRule="exact"/>
        <w:rPr>
          <w:sz w:val="20"/>
          <w:szCs w:val="20"/>
          <w:color w:val="auto"/>
        </w:rPr>
      </w:pPr>
    </w:p>
    <w:p>
      <w:pPr>
        <w:ind w:left="1280" w:hanging="638"/>
        <w:spacing w:after="0"/>
        <w:tabs>
          <w:tab w:leader="none" w:pos="12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Valneva Parties hereby irrevocably and forever waive and release [***] in respect of the Dispute; and</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Parties hereby irrevocably and forever waive and release [***] in respect of the Dispute.</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r>
        <w:rPr>
          <w:rFonts w:ascii="Times New Roman" w:cs="Times New Roman" w:eastAsia="Times New Roman" w:hAnsi="Times New Roman"/>
          <w:sz w:val="17"/>
          <w:szCs w:val="17"/>
          <w:color w:val="auto"/>
        </w:rPr>
        <w:t>Without limiting the generality of clause 5.1:</w:t>
      </w:r>
    </w:p>
    <w:p>
      <w:pPr>
        <w:spacing w:after="0" w:line="225" w:lineRule="exact"/>
        <w:rPr>
          <w:sz w:val="20"/>
          <w:szCs w:val="20"/>
          <w:color w:val="auto"/>
        </w:rPr>
      </w:pPr>
    </w:p>
    <w:p>
      <w:pPr>
        <w:ind w:left="1280" w:hanging="638"/>
        <w:spacing w:after="0"/>
        <w:tabs>
          <w:tab w:leader="none" w:pos="12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Valneva hereby irrevocably waives any and all claims to [***]; and</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jc w:val="both"/>
        <w:ind w:firstLine="8"/>
        <w:spacing w:after="0" w:line="268" w:lineRule="auto"/>
        <w:tabs>
          <w:tab w:leader="none" w:pos="485"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color w:val="auto"/>
        </w:rPr>
        <w:t>– 5 –</w:t>
      </w:r>
    </w:p>
    <w:p>
      <w:pPr>
        <w:spacing w:after="0" w:line="27"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Private &amp; Confidential</w:t>
      </w:r>
    </w:p>
    <w:p>
      <w:pPr>
        <w:spacing w:after="0" w:line="207" w:lineRule="exact"/>
        <w:rPr>
          <w:sz w:val="20"/>
          <w:szCs w:val="20"/>
          <w:color w:val="auto"/>
        </w:rPr>
      </w:pPr>
    </w:p>
    <w:p>
      <w:pPr>
        <w:ind w:left="1280" w:hanging="638"/>
        <w:spacing w:after="0" w:line="282" w:lineRule="auto"/>
        <w:tabs>
          <w:tab w:leader="none" w:pos="12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operation of the continuing provisions of the Supply Agreement (including, without limitation, Clause 7.11, 7.12 and 16) BEIS hereby irrevocably waives any and all claims [***].</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The release under clause 5.1 shall apply to Government Related Parties and Valneva Related Parties.</w:t>
      </w:r>
    </w:p>
    <w:p>
      <w:pPr>
        <w:spacing w:after="0" w:line="225"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Each Party agrees that it will not bring any proceedings or claims against any Related Party in relation to a claim that is released by virtue of this Agreement or otherwise assert such a claim against any Related Party.</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The release under this clause 5 shall not apply to:</w:t>
      </w:r>
    </w:p>
    <w:p>
      <w:pPr>
        <w:spacing w:after="0" w:line="225" w:lineRule="exact"/>
        <w:rPr>
          <w:sz w:val="20"/>
          <w:szCs w:val="20"/>
          <w:color w:val="auto"/>
        </w:rPr>
      </w:pPr>
    </w:p>
    <w:p>
      <w:pPr>
        <w:ind w:left="1280" w:hanging="638"/>
        <w:spacing w:after="0"/>
        <w:tabs>
          <w:tab w:leader="none" w:pos="12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fraudulent or criminal act;</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that a party may have in respect of Tax;</w:t>
      </w:r>
    </w:p>
    <w:p>
      <w:pPr>
        <w:spacing w:after="0" w:line="225"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existing on or after the Settlement Effective Date in respect of (i) surviving provisions of the Supply Agreement; (ii) the CTA; and/or (iii) the MTAs;</w:t>
      </w:r>
    </w:p>
    <w:p>
      <w:pPr>
        <w:spacing w:after="0" w:line="16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warranty at clause 3.3;</w:t>
      </w:r>
    </w:p>
    <w:p>
      <w:pPr>
        <w:spacing w:after="0" w:line="225"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claim or Liability between any Valneva Related Parties and any NHS trusts, centres or sites that have undertaken or are undertaking any clinical trial work in connection with the Vaccine Project.</w:t>
      </w:r>
    </w:p>
    <w:p>
      <w:pPr>
        <w:spacing w:after="0" w:line="15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osts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Each Party shall bear its own legal costs in relation to the Dispute and this Agreement.</w:t>
      </w:r>
    </w:p>
    <w:p>
      <w:pPr>
        <w:spacing w:after="0" w:line="221" w:lineRule="exact"/>
        <w:rPr>
          <w:sz w:val="20"/>
          <w:szCs w:val="20"/>
          <w:color w:val="auto"/>
        </w:rPr>
      </w:pPr>
    </w:p>
    <w:p>
      <w:pPr>
        <w:ind w:left="640" w:hanging="632"/>
        <w:spacing w:after="0"/>
        <w:tabs>
          <w:tab w:leader="none" w:pos="6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hird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arties</w:t>
      </w:r>
    </w:p>
    <w:p>
      <w:pPr>
        <w:spacing w:after="0" w:line="229"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Subject to clause 7.2, this Agreement shall not confer any rights on any third party pursuant to the provisions of the Contracts (Rights of Third Parties) Act 1999.</w:t>
      </w:r>
    </w:p>
    <w:p>
      <w:pPr>
        <w:spacing w:after="0" w:line="162"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Clause 7.1 shall not restrict the operation of clause 5 of this Agreement provided that the Parties may amend this Agreement by agreement between them without the consent of any other person who benefits from the release under clause 5.</w:t>
      </w:r>
    </w:p>
    <w:p>
      <w:pPr>
        <w:spacing w:after="0" w:line="158" w:lineRule="exact"/>
        <w:rPr>
          <w:sz w:val="20"/>
          <w:szCs w:val="20"/>
          <w:color w:val="auto"/>
        </w:rPr>
      </w:pPr>
    </w:p>
    <w:p>
      <w:pPr>
        <w:ind w:left="640" w:hanging="632"/>
        <w:spacing w:after="0"/>
        <w:tabs>
          <w:tab w:leader="none" w:pos="6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onfidentiality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nnouncements</w:t>
      </w:r>
    </w:p>
    <w:p>
      <w:pPr>
        <w:spacing w:after="0" w:line="229" w:lineRule="exact"/>
        <w:rPr>
          <w:sz w:val="20"/>
          <w:szCs w:val="20"/>
          <w:color w:val="auto"/>
        </w:rPr>
      </w:pPr>
    </w:p>
    <w:p>
      <w:pPr>
        <w:jc w:val="both"/>
        <w:ind w:left="640" w:hanging="633"/>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Each Party shall keep the terms of this Agreement confidential and shall not divulge or communicate those terms to any third party without the consent of the other Party to this Agreement. If disclosure of any terms of this Agreement, other than pursuant to clause 8.3 below, is required to be made pursuant to a mandatory obligation under law, the normal operations of Government or Parliament, or the mandatory requirement and rules of any relevant securities exchange, then (i) any such disclosure shall be limited to the minimum information that must be included to comply with such law, operations, requirement or rule; and (ii) to the extent not prohibited by law, any such disclosure must first be agreed between the Parties (acting reasonably, such agreement not to be unreasonably withheld or delayed) prior to being made (unless it is being disclosed by the UK Government as part of its normal operations of Government or Parliament). Notwithstanding the foregoing, a Party may disclose this Agreement</w:t>
      </w:r>
    </w:p>
    <w:p>
      <w:pPr>
        <w:spacing w:after="0" w:line="3" w:lineRule="exact"/>
        <w:rPr>
          <w:sz w:val="20"/>
          <w:szCs w:val="20"/>
          <w:color w:val="auto"/>
        </w:rPr>
      </w:pPr>
    </w:p>
    <w:p>
      <w:pPr>
        <w:jc w:val="both"/>
        <w:ind w:left="640" w:firstLine="2"/>
        <w:spacing w:after="0" w:line="255" w:lineRule="auto"/>
        <w:tabs>
          <w:tab w:leader="none" w:pos="89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strict obligations of confidentiality to the relevant Party's auditors, accountants, legal advisers, insurers, bankers or regulators; or (b) to the minimum extent necessary for the purposes of enforcing its terms provided that the disclosing Party shall first seek confidential treatment of the same.</w:t>
      </w:r>
    </w:p>
    <w:p>
      <w:pPr>
        <w:spacing w:after="0" w:line="397" w:lineRule="exact"/>
        <w:rPr>
          <w:rFonts w:ascii="Times New Roman" w:cs="Times New Roman" w:eastAsia="Times New Roman" w:hAnsi="Times New Roman"/>
          <w:sz w:val="18"/>
          <w:szCs w:val="18"/>
          <w:color w:val="auto"/>
        </w:rPr>
      </w:pPr>
    </w:p>
    <w:p>
      <w:pPr>
        <w:jc w:val="both"/>
        <w:ind w:firstLine="8"/>
        <w:spacing w:after="0" w:line="268" w:lineRule="auto"/>
        <w:tabs>
          <w:tab w:leader="none" w:pos="485"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21"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Private &amp; Confidential</w:t>
      </w:r>
    </w:p>
    <w:p>
      <w:pPr>
        <w:spacing w:after="0" w:line="229"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Following this Agreement becoming effective on the Settlement Effective Date, the Parties shall be free to issue their respective statements in the form attached to this Agreement as Appendix One, provided that (i) Valneva's public statement identified in Appendix One shall be first issued by Valneva on the Settlement Effective Date but after European market trading hours on that date; and (ii) the Government Parties' public statement identified in Appendix One shall only be issued at the same time as or following Valneva's public statement.</w:t>
      </w:r>
    </w:p>
    <w:p>
      <w:pPr>
        <w:spacing w:after="0" w:line="180" w:lineRule="exact"/>
        <w:rPr>
          <w:sz w:val="20"/>
          <w:szCs w:val="20"/>
          <w:color w:val="auto"/>
        </w:rPr>
      </w:pPr>
    </w:p>
    <w:p>
      <w:pPr>
        <w:jc w:val="both"/>
        <w:ind w:left="640" w:hanging="633"/>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Other than the public statement agreed to be issued under clause 8.2, no press release or other communication with the media or other public communication of the terms of this Agreement shall be made save by written agreement of all Parties PROVIDED THAT if a Party needs to or is required to make any statement pursuant to any mandatory obligation under law, the normal operations of Government or Parliament, or the rules of any securities exchange then the Party needing to or required to make such disclosure may do so but shall (i) where it is legally permitted to do so, first give advance written notice to the other Parties including the definitive statement to be made (or, in the case of financial reporting or disclosure requirements, an explanation of the nature of the disclosure or reporting to be made), and shall take into account and adopt any reasonable comments provided by the other Parties on the proposed statement; and (ii) only disclose, to the minimum extent necessary, such information concerning this Agreement as is required by such law or rule. Where a disclosure is being made by the UK Government as part of its normal operations of Government or Parliament then the provisions of (i) and (ii) above shall not apply.</w:t>
      </w:r>
    </w:p>
    <w:p>
      <w:pPr>
        <w:spacing w:after="0" w:line="184" w:lineRule="exact"/>
        <w:rPr>
          <w:sz w:val="20"/>
          <w:szCs w:val="20"/>
          <w:color w:val="auto"/>
        </w:rPr>
      </w:pPr>
    </w:p>
    <w:p>
      <w:pPr>
        <w:ind w:left="640" w:hanging="632"/>
        <w:spacing w:after="0"/>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dmission</w:t>
      </w:r>
    </w:p>
    <w:p>
      <w:pPr>
        <w:spacing w:after="0" w:line="229"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The Parties agree that, by entering into this Agreement, neither Party makes any admission in relation to any matter alleged by the other in connection with the Dispute. Furthermore, the Parties agree that nothing in this Agreement shall amount to any waiver of privilege, including any parliamentary privilege.</w:t>
      </w:r>
    </w:p>
    <w:p>
      <w:pPr>
        <w:spacing w:after="0" w:line="172" w:lineRule="exact"/>
        <w:rPr>
          <w:sz w:val="20"/>
          <w:szCs w:val="20"/>
          <w:color w:val="auto"/>
        </w:rPr>
      </w:pPr>
    </w:p>
    <w:p>
      <w:pPr>
        <w:ind w:left="640" w:hanging="632"/>
        <w:spacing w:after="0"/>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ntire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29"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This Agreement constitutes the entire agreement between the Parties relating to its subject matter, and supersedes and extinguishes any prior undertakings, representations, warranties, conditions and arrangements of any nature, whether in writing or oral, relating to that subject matter. Each Party represents and warrants that it has conducted such enquiries and taken such advice as it considers necessary in order to enter into this Agreement and that, in doing so, it has not relied on anything said or done, or not said or not done, by or on behalf of any Related Party except to the extent that it is set out expressly in this Agreement. In particular, each Party acknowledges and agrees that: it was not induced to enter into this Agreement by any representation or statement made by any Related Party (including, without limitation, statements and representations made in correspondence, statements of case, witness statements or other documents prepared, filed or served in relation to or for the purposes of the Dispute); that it has not relied on any such representation or statement.</w:t>
      </w:r>
    </w:p>
    <w:p>
      <w:pPr>
        <w:spacing w:after="0" w:line="188" w:lineRule="exact"/>
        <w:rPr>
          <w:sz w:val="20"/>
          <w:szCs w:val="20"/>
          <w:color w:val="auto"/>
        </w:rPr>
      </w:pPr>
    </w:p>
    <w:p>
      <w:pPr>
        <w:ind w:left="640" w:hanging="632"/>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otices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Any notice under or in connection with this Agreement (a “</w:t>
      </w: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280" w:hanging="638"/>
        <w:spacing w:after="0"/>
        <w:tabs>
          <w:tab w:leader="none" w:pos="12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in writing;</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in the English language; and</w:t>
      </w:r>
    </w:p>
    <w:p>
      <w:pPr>
        <w:spacing w:after="0" w:line="225" w:lineRule="exact"/>
        <w:rPr>
          <w:rFonts w:ascii="Times New Roman" w:cs="Times New Roman" w:eastAsia="Times New Roman" w:hAnsi="Times New Roman"/>
          <w:sz w:val="18"/>
          <w:szCs w:val="18"/>
          <w:color w:val="auto"/>
        </w:rPr>
      </w:pPr>
    </w:p>
    <w:p>
      <w:pPr>
        <w:jc w:val="both"/>
        <w:ind w:left="1280" w:hanging="638"/>
        <w:spacing w:after="0" w:line="266" w:lineRule="auto"/>
        <w:tabs>
          <w:tab w:leader="none" w:pos="12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delivered personally or sent by first class post (and air mail if overseas) to the Party due to receive the Notice at the relevant address set out in clause 11.2 or to another address or person specified by that Party by not less than seven days' written notice to the other Party in substitution for one or more of those set out in clause 11.2.</w:t>
      </w:r>
    </w:p>
    <w:p>
      <w:pPr>
        <w:spacing w:after="0" w:line="387" w:lineRule="exact"/>
        <w:rPr>
          <w:rFonts w:ascii="Times New Roman" w:cs="Times New Roman" w:eastAsia="Times New Roman" w:hAnsi="Times New Roman"/>
          <w:sz w:val="18"/>
          <w:szCs w:val="18"/>
          <w:color w:val="auto"/>
        </w:rPr>
      </w:pPr>
    </w:p>
    <w:p>
      <w:pPr>
        <w:jc w:val="both"/>
        <w:ind w:firstLine="8"/>
        <w:spacing w:after="0" w:line="268" w:lineRule="auto"/>
        <w:tabs>
          <w:tab w:leader="none" w:pos="485"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color w:val="auto"/>
        </w:rPr>
        <w:t>– 7 –</w:t>
      </w:r>
    </w:p>
    <w:p>
      <w:pPr>
        <w:spacing w:after="0" w:line="200" w:lineRule="exact"/>
        <w:rPr>
          <w:sz w:val="20"/>
          <w:szCs w:val="20"/>
          <w:color w:val="auto"/>
        </w:rPr>
      </w:pPr>
    </w:p>
    <w:p>
      <w:pPr>
        <w:spacing w:after="0" w:line="237"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Private &amp; Confidential</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The addresses referred to in clause 11.1(c) are:</w:t>
      </w:r>
    </w:p>
    <w:p>
      <w:pPr>
        <w:spacing w:after="0" w:line="225" w:lineRule="exact"/>
        <w:rPr>
          <w:sz w:val="20"/>
          <w:szCs w:val="20"/>
          <w:color w:val="auto"/>
        </w:rPr>
      </w:pPr>
    </w:p>
    <w:p>
      <w:pPr>
        <w:ind w:left="1280" w:hanging="638"/>
        <w:spacing w:after="0"/>
        <w:tabs>
          <w:tab w:leader="none" w:pos="12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Valneva:</w:t>
      </w:r>
    </w:p>
    <w:p>
      <w:pPr>
        <w:spacing w:after="0" w:line="22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Address: Campus Vienna Biocenter 3, 1030 Vienna, Austria</w:t>
      </w:r>
    </w:p>
    <w:p>
      <w:pPr>
        <w:spacing w:after="0" w:line="22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Marked for the attention of [***].</w:t>
      </w:r>
    </w:p>
    <w:p>
      <w:pPr>
        <w:spacing w:after="0" w:line="225" w:lineRule="exact"/>
        <w:rPr>
          <w:sz w:val="20"/>
          <w:szCs w:val="20"/>
          <w:color w:val="auto"/>
        </w:rPr>
      </w:pPr>
    </w:p>
    <w:p>
      <w:pPr>
        <w:ind w:left="1280" w:hanging="638"/>
        <w:spacing w:after="0"/>
        <w:tabs>
          <w:tab w:leader="none" w:pos="12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Parent:</w:t>
      </w:r>
    </w:p>
    <w:p>
      <w:pPr>
        <w:spacing w:after="0" w:line="22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Address: 6 rue Alain Bombard, 44800 Saint Herblain, France</w:t>
      </w:r>
    </w:p>
    <w:p>
      <w:pPr>
        <w:spacing w:after="0" w:line="22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Marked for the attention of [***].</w:t>
      </w:r>
    </w:p>
    <w:p>
      <w:pPr>
        <w:spacing w:after="0" w:line="225" w:lineRule="exact"/>
        <w:rPr>
          <w:sz w:val="20"/>
          <w:szCs w:val="20"/>
          <w:color w:val="auto"/>
        </w:rPr>
      </w:pPr>
    </w:p>
    <w:p>
      <w:pPr>
        <w:ind w:left="1280" w:hanging="638"/>
        <w:spacing w:after="0"/>
        <w:tabs>
          <w:tab w:leader="none" w:pos="12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BEIS:</w:t>
      </w:r>
    </w:p>
    <w:p>
      <w:pPr>
        <w:spacing w:after="0" w:line="22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Address: 1 Victoria Street, Westminster, London, SW1H 0ET</w:t>
      </w:r>
    </w:p>
    <w:p>
      <w:pPr>
        <w:spacing w:after="0" w:line="22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Marked for the attention of [***].</w:t>
      </w:r>
    </w:p>
    <w:p>
      <w:pPr>
        <w:spacing w:after="0" w:line="225" w:lineRule="exact"/>
        <w:rPr>
          <w:sz w:val="20"/>
          <w:szCs w:val="20"/>
          <w:color w:val="auto"/>
        </w:rPr>
      </w:pPr>
    </w:p>
    <w:p>
      <w:pPr>
        <w:ind w:left="1280" w:hanging="638"/>
        <w:spacing w:after="0"/>
        <w:tabs>
          <w:tab w:leader="none" w:pos="12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DHSC:</w:t>
      </w:r>
    </w:p>
    <w:p>
      <w:pPr>
        <w:spacing w:after="0" w:line="22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Address: 39 Victoria Street, Westminster, London, SW1H 0EU</w:t>
      </w:r>
    </w:p>
    <w:p>
      <w:pPr>
        <w:spacing w:after="0" w:line="22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Marked for the attention of [***]</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A Notice shall be deemed to be given as set out below:</w:t>
      </w:r>
    </w:p>
    <w:p>
      <w:pPr>
        <w:spacing w:after="0" w:line="225" w:lineRule="exact"/>
        <w:rPr>
          <w:sz w:val="20"/>
          <w:szCs w:val="20"/>
          <w:color w:val="auto"/>
        </w:rPr>
      </w:pPr>
    </w:p>
    <w:p>
      <w:pPr>
        <w:jc w:val="both"/>
        <w:ind w:left="1280" w:hanging="638"/>
        <w:spacing w:after="0" w:line="266" w:lineRule="auto"/>
        <w:tabs>
          <w:tab w:leader="none" w:pos="12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hand delivered, upon being handed personally to the addressee (or, where the addressee is a corporation, any one of its directors or its secretary) or being left in a letter box or other appropriate place for the receipt of letters at the relevant Party's address as set out in clause 11.2;</w:t>
      </w:r>
    </w:p>
    <w:p>
      <w:pPr>
        <w:spacing w:after="0" w:line="175"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first class registered post, at 10 a.m. on the second Business Day after posting or if overseas by international recorded post, at 10 a.m. on the fifth Business Day after posting.</w:t>
      </w:r>
    </w:p>
    <w:p>
      <w:pPr>
        <w:spacing w:after="0" w:line="162"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No Notice will be deemed validly served if sent by email, unless the Party to whom a Notice is being sent has previously expressly agreed to receive a Notice by email and confirmed the applicable email address to be used.</w:t>
      </w:r>
    </w:p>
    <w:p>
      <w:pPr>
        <w:spacing w:after="0" w:line="158" w:lineRule="exact"/>
        <w:rPr>
          <w:sz w:val="20"/>
          <w:szCs w:val="20"/>
          <w:color w:val="auto"/>
        </w:rPr>
      </w:pPr>
    </w:p>
    <w:p>
      <w:pPr>
        <w:ind w:left="640" w:hanging="632"/>
        <w:spacing w:after="0"/>
        <w:tabs>
          <w:tab w:leader="none" w:pos="6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eneral</w:t>
      </w:r>
    </w:p>
    <w:p>
      <w:pPr>
        <w:spacing w:after="0" w:line="229"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The Parties represent and warrant to each other that they have the capacity, power and authority to enter into and perform this Agreement, that each of those who execute this Agreement on their behalf are duly authorised to do so, and that this Agreement gives rise to legal, valid, binding and enforceable obligations on each Party.</w:t>
      </w:r>
    </w:p>
    <w:p>
      <w:pPr>
        <w:spacing w:after="0" w:line="176"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If any provision of this Agreement is illegal or unenforceable, whether in whole or in part, the validity and enforceability of the remainder of this Agreement shall not be affected.</w:t>
      </w:r>
    </w:p>
    <w:p>
      <w:pPr>
        <w:spacing w:after="0" w:line="162"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Each Party warrants to the other that, as at the date of this Agreement, no claim form has been issued, proceedings commenced, arbitration notice served or other action taken to commence any litigation or arbitration, whether pending or served, arising out of or connected with the Dispute, nor, to the best of its knowledge, are any contemplated by any of the Related Parties.</w:t>
      </w:r>
    </w:p>
    <w:p>
      <w:pPr>
        <w:spacing w:after="0" w:line="388" w:lineRule="exact"/>
        <w:rPr>
          <w:sz w:val="20"/>
          <w:szCs w:val="20"/>
          <w:color w:val="auto"/>
        </w:rPr>
      </w:pPr>
    </w:p>
    <w:p>
      <w:pPr>
        <w:jc w:val="both"/>
        <w:ind w:firstLine="8"/>
        <w:spacing w:after="0" w:line="268" w:lineRule="auto"/>
        <w:tabs>
          <w:tab w:leader="none" w:pos="485"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7"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Private &amp; Confidential</w:t>
      </w:r>
    </w:p>
    <w:p>
      <w:pPr>
        <w:spacing w:after="0" w:line="200" w:lineRule="exact"/>
        <w:rPr>
          <w:sz w:val="20"/>
          <w:szCs w:val="20"/>
          <w:color w:val="auto"/>
        </w:rPr>
      </w:pPr>
    </w:p>
    <w:p>
      <w:pPr>
        <w:spacing w:after="0" w:line="223"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Each Party agrees, represents and warrants to each of the other Parties that it has not assigned, transferred, declared a trust of the benefit of or in any other way alienated any of its rights in or with regard to any claim in respect of the Dispute, whether in whole or in part.</w:t>
      </w:r>
    </w:p>
    <w:p>
      <w:pPr>
        <w:spacing w:after="0" w:line="162" w:lineRule="exact"/>
        <w:rPr>
          <w:sz w:val="20"/>
          <w:szCs w:val="20"/>
          <w:color w:val="auto"/>
        </w:rPr>
      </w:pPr>
    </w:p>
    <w:p>
      <w:pPr>
        <w:ind w:left="640" w:right="2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color w:val="auto"/>
        </w:rPr>
        <w:t>No Party may assign, transfer, declare a trust of the benefit of or in any other way alienate any of its rights under this Agreement, whether in whole or in part, without the prior written consent of the other Parties.</w:t>
      </w:r>
    </w:p>
    <w:p>
      <w:pPr>
        <w:spacing w:after="0" w:line="162"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8"/>
          <w:szCs w:val="18"/>
          <w:color w:val="auto"/>
        </w:rPr>
        <w:t>No failure to exercise, nor any delay in exercising, any right or remedy under this Agreement shall operate as a waiver, nor shall any single or partial exercise of any right or remedy prevent any further or other exercise or the exercise of any other right or remedy.</w:t>
      </w:r>
    </w:p>
    <w:p>
      <w:pPr>
        <w:spacing w:after="0" w:line="162" w:lineRule="exact"/>
        <w:rPr>
          <w:sz w:val="20"/>
          <w:szCs w:val="20"/>
          <w:color w:val="auto"/>
        </w:rPr>
      </w:pPr>
    </w:p>
    <w:p>
      <w:pPr>
        <w:ind w:left="640" w:right="2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8"/>
          <w:szCs w:val="18"/>
          <w:color w:val="auto"/>
        </w:rPr>
        <w:t>No variation, waiver or other amendment of this Agreement shall be effective or enforceable unless made in writing and signed by or on behalf of the Parties.</w:t>
      </w:r>
    </w:p>
    <w:p>
      <w:pPr>
        <w:spacing w:after="0" w:line="158" w:lineRule="exact"/>
        <w:rPr>
          <w:sz w:val="20"/>
          <w:szCs w:val="20"/>
          <w:color w:val="auto"/>
        </w:rPr>
      </w:pPr>
    </w:p>
    <w:p>
      <w:pPr>
        <w:ind w:left="640" w:hanging="632"/>
        <w:spacing w:after="0"/>
        <w:tabs>
          <w:tab w:leader="none" w:pos="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overning</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aw and</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urisdiction</w:t>
      </w:r>
    </w:p>
    <w:p>
      <w:pPr>
        <w:spacing w:after="0" w:line="229"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This Agreement shall be governed by, construed and take effect in accordance with the laws of England and Wales. The Parties to this Agreement submit to the exclusive jurisdiction of the English High Court and agree that the courts of England and Wales shall have exclusive jurisdiction to settle any claim, dispute or matter of difference which may arise out of or in connection with this Agreement.</w:t>
      </w:r>
    </w:p>
    <w:p>
      <w:pPr>
        <w:spacing w:after="0" w:line="388" w:lineRule="exact"/>
        <w:rPr>
          <w:sz w:val="20"/>
          <w:szCs w:val="20"/>
          <w:color w:val="auto"/>
        </w:rPr>
      </w:pPr>
    </w:p>
    <w:p>
      <w:pPr>
        <w:jc w:val="both"/>
        <w:ind w:firstLine="8"/>
        <w:spacing w:after="0" w:line="268" w:lineRule="auto"/>
        <w:tabs>
          <w:tab w:leader="none" w:pos="485"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color w:val="auto"/>
        </w:rPr>
        <w:t>– 9 –</w:t>
      </w:r>
    </w:p>
    <w:p>
      <w:pPr>
        <w:spacing w:after="0" w:line="221"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Private &amp; Confidential</w:t>
      </w:r>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Agreement to be executed in four counterparts by their respective duly authorised representatives,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which is an original and all of which together evidence the same agreement. This Agreement shall not come into effect until each Party has executed at least one counterpart.</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Signed by [***]_________________</w:t>
            </w:r>
          </w:p>
        </w:tc>
        <w:tc>
          <w:tcPr>
            <w:tcW w:w="26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6"/>
              </w:rPr>
              <w:t>/s/[***]</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for and on behalf of </w:t>
            </w:r>
            <w:r>
              <w:rPr>
                <w:rFonts w:ascii="Times New Roman" w:cs="Times New Roman" w:eastAsia="Times New Roman" w:hAnsi="Times New Roman"/>
                <w:sz w:val="18"/>
                <w:szCs w:val="18"/>
                <w:b w:val="1"/>
                <w:bCs w:val="1"/>
                <w:color w:val="auto"/>
              </w:rPr>
              <w:t>VALNEVA</w:t>
            </w:r>
          </w:p>
        </w:tc>
        <w:tc>
          <w:tcPr>
            <w:tcW w:w="26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spacing w:after="0"/>
              <w:rPr>
                <w:sz w:val="18"/>
                <w:szCs w:val="18"/>
                <w:color w:val="auto"/>
              </w:rPr>
            </w:pP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AUSTRIA GMBH</w:t>
            </w:r>
          </w:p>
        </w:tc>
        <w:tc>
          <w:tcPr>
            <w:tcW w:w="26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spacing w:after="0"/>
              <w:rPr>
                <w:sz w:val="20"/>
                <w:szCs w:val="20"/>
                <w:color w:val="auto"/>
              </w:rPr>
            </w:pPr>
          </w:p>
        </w:tc>
      </w:tr>
      <w:tr>
        <w:trPr>
          <w:trHeight w:val="41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Signed by [***]________________</w:t>
            </w:r>
          </w:p>
        </w:tc>
        <w:tc>
          <w:tcPr>
            <w:tcW w:w="26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6"/>
              </w:rPr>
              <w:t>/s/[***]</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for and on behalf of </w:t>
            </w:r>
            <w:r>
              <w:rPr>
                <w:rFonts w:ascii="Times New Roman" w:cs="Times New Roman" w:eastAsia="Times New Roman" w:hAnsi="Times New Roman"/>
                <w:sz w:val="18"/>
                <w:szCs w:val="18"/>
                <w:b w:val="1"/>
                <w:bCs w:val="1"/>
                <w:color w:val="auto"/>
              </w:rPr>
              <w:t>VALNEVA</w:t>
            </w:r>
          </w:p>
        </w:tc>
        <w:tc>
          <w:tcPr>
            <w:tcW w:w="26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spacing w:after="0"/>
              <w:rPr>
                <w:sz w:val="18"/>
                <w:szCs w:val="18"/>
                <w:color w:val="auto"/>
              </w:rPr>
            </w:pP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AUSTRIA GMBH</w:t>
            </w:r>
          </w:p>
        </w:tc>
        <w:tc>
          <w:tcPr>
            <w:tcW w:w="26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spacing w:after="0"/>
              <w:rPr>
                <w:sz w:val="20"/>
                <w:szCs w:val="20"/>
                <w:color w:val="auto"/>
              </w:rPr>
            </w:pPr>
          </w:p>
        </w:tc>
      </w:tr>
      <w:tr>
        <w:trPr>
          <w:trHeight w:val="41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Signed by [***]________________</w:t>
            </w:r>
          </w:p>
        </w:tc>
        <w:tc>
          <w:tcPr>
            <w:tcW w:w="26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6"/>
              </w:rPr>
              <w:t>/s/[***]</w:t>
            </w:r>
          </w:p>
        </w:tc>
      </w:tr>
      <w:tr>
        <w:trPr>
          <w:trHeight w:val="22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for and on behalf of </w:t>
            </w:r>
            <w:r>
              <w:rPr>
                <w:rFonts w:ascii="Times New Roman" w:cs="Times New Roman" w:eastAsia="Times New Roman" w:hAnsi="Times New Roman"/>
                <w:sz w:val="18"/>
                <w:szCs w:val="18"/>
                <w:b w:val="1"/>
                <w:bCs w:val="1"/>
                <w:color w:val="auto"/>
              </w:rPr>
              <w:t>VALNEVA S.E.</w:t>
            </w:r>
          </w:p>
        </w:tc>
        <w:tc>
          <w:tcPr>
            <w:tcW w:w="26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spacing w:after="0"/>
              <w:rPr>
                <w:sz w:val="19"/>
                <w:szCs w:val="19"/>
                <w:color w:val="auto"/>
              </w:rPr>
            </w:pPr>
          </w:p>
        </w:tc>
      </w:tr>
      <w:tr>
        <w:trPr>
          <w:trHeight w:val="234"/>
        </w:trPr>
        <w:tc>
          <w:tcPr>
            <w:tcW w:w="4140" w:type="dxa"/>
            <w:vAlign w:val="bottom"/>
          </w:tcPr>
          <w:p>
            <w:pPr>
              <w:spacing w:after="0"/>
              <w:rPr>
                <w:sz w:val="20"/>
                <w:szCs w:val="20"/>
                <w:color w:val="auto"/>
              </w:rPr>
            </w:pPr>
          </w:p>
        </w:tc>
        <w:tc>
          <w:tcPr>
            <w:tcW w:w="26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spacing w:after="0"/>
              <w:rPr>
                <w:sz w:val="20"/>
                <w:szCs w:val="20"/>
                <w:color w:val="auto"/>
              </w:rPr>
            </w:pPr>
          </w:p>
        </w:tc>
      </w:tr>
      <w:tr>
        <w:trPr>
          <w:trHeight w:val="41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Signed by [***] for and on behalf of</w:t>
            </w:r>
          </w:p>
        </w:tc>
        <w:tc>
          <w:tcPr>
            <w:tcW w:w="26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6"/>
              </w:rPr>
              <w:t>/s/[***]</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SECRETARY OF STATE FOR</w:t>
            </w:r>
          </w:p>
        </w:tc>
        <w:tc>
          <w:tcPr>
            <w:tcW w:w="26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ENERGY AND</w:t>
            </w:r>
          </w:p>
        </w:tc>
        <w:tc>
          <w:tcPr>
            <w:tcW w:w="26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spacing w:after="0"/>
              <w:rPr>
                <w:sz w:val="18"/>
                <w:szCs w:val="18"/>
                <w:color w:val="auto"/>
              </w:rPr>
            </w:pP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INDUSTRIAL STRATEGY</w:t>
            </w:r>
          </w:p>
        </w:tc>
        <w:tc>
          <w:tcPr>
            <w:tcW w:w="26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1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Signed by [***] for and on behalf of</w:t>
            </w:r>
          </w:p>
        </w:tc>
        <w:tc>
          <w:tcPr>
            <w:tcW w:w="26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6"/>
              </w:rPr>
              <w:t>/s/[***]</w:t>
            </w:r>
          </w:p>
        </w:tc>
      </w:tr>
      <w:tr>
        <w:trPr>
          <w:trHeight w:val="216"/>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THE SECRETARY OF STATE FOR</w:t>
            </w:r>
          </w:p>
        </w:tc>
        <w:tc>
          <w:tcPr>
            <w:tcW w:w="26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spacing w:after="0"/>
              <w:rPr>
                <w:sz w:val="18"/>
                <w:szCs w:val="18"/>
                <w:color w:val="auto"/>
              </w:rPr>
            </w:pP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HEALTH AND SOCIAL CARE</w:t>
            </w:r>
          </w:p>
        </w:tc>
        <w:tc>
          <w:tcPr>
            <w:tcW w:w="26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spacing w:after="0"/>
              <w:rPr>
                <w:sz w:val="20"/>
                <w:szCs w:val="20"/>
                <w:color w:val="auto"/>
              </w:rPr>
            </w:pPr>
          </w:p>
        </w:tc>
      </w:tr>
    </w:tbl>
    <w:p>
      <w:pPr>
        <w:spacing w:after="0" w:line="200" w:lineRule="exact"/>
        <w:rPr>
          <w:sz w:val="20"/>
          <w:szCs w:val="20"/>
          <w:color w:val="auto"/>
        </w:rPr>
      </w:pPr>
    </w:p>
    <w:p>
      <w:pPr>
        <w:spacing w:after="0" w:line="210" w:lineRule="exact"/>
        <w:rPr>
          <w:sz w:val="20"/>
          <w:szCs w:val="20"/>
          <w:color w:val="auto"/>
        </w:rPr>
      </w:pPr>
    </w:p>
    <w:p>
      <w:pPr>
        <w:jc w:val="both"/>
        <w:ind w:firstLine="8"/>
        <w:spacing w:after="0" w:line="268" w:lineRule="auto"/>
        <w:tabs>
          <w:tab w:leader="none" w:pos="485"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color w:val="auto"/>
        </w:rPr>
        <w:t>– 10 –</w:t>
      </w:r>
    </w:p>
    <w:p>
      <w:pPr>
        <w:spacing w:after="0" w:line="221"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Private &amp; Confidential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One – Agreed Announcements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Valneva's Public Statement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Valneva SE, a specialty vaccine company, today announced that it has entered into a settlement agreement with the Government of the United Kingdom (“HMG”) in relation to the termination of the supply agreement for Valneva’s COVID-19 vaccine candidate, VLA2001.</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announced on September 13, 2021 that it had received a termination notice from HMG, and the termination, which the Company accepted on the basis of HMG’s discretionary right to terminate for convenience, became effective on October 10, 2021.</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settlement agreement resolves certain matters relating to the obligations of the Company and HMG following the termination of the supply agreement and in relation to the separate agreement relating to clinical trials of VLA2001 in the United Kingdom, which remains in place.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continues to have certain other obligations pursuant to provisions of the supply agreement that survive its termination.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Government Parties' Reactionary Public Statement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both"/>
        <w:ind w:firstLine="8"/>
        <w:spacing w:after="0" w:line="268" w:lineRule="auto"/>
        <w:tabs>
          <w:tab w:leader="none" w:pos="485"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9" w:name="page70"/>
    <w:bookmarkEnd w:id="69"/>
    <w:p>
      <w:pPr>
        <w:ind w:left="4280"/>
        <w:spacing w:after="0"/>
        <w:rPr>
          <w:sz w:val="20"/>
          <w:szCs w:val="20"/>
          <w:color w:val="auto"/>
        </w:rPr>
      </w:pPr>
      <w:r>
        <w:rPr>
          <w:rFonts w:ascii="Times New Roman" w:cs="Times New Roman" w:eastAsia="Times New Roman" w:hAnsi="Times New Roman"/>
          <w:sz w:val="18"/>
          <w:szCs w:val="18"/>
          <w:color w:val="auto"/>
        </w:rPr>
        <w:t>– 11 –</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Private &amp; Confidential</w:t>
      </w:r>
    </w:p>
    <w:p>
      <w:pPr>
        <w:spacing w:after="0" w:line="200" w:lineRule="exact"/>
        <w:rPr>
          <w:sz w:val="20"/>
          <w:szCs w:val="20"/>
          <w:color w:val="auto"/>
        </w:rPr>
      </w:pPr>
    </w:p>
    <w:p>
      <w:pPr>
        <w:spacing w:after="0" w:line="24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Appendix Two – Completion Statement</w:t>
      </w:r>
    </w:p>
    <w:p>
      <w:pPr>
        <w:spacing w:after="0" w:line="24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0"/>
          </w:cols>
          <w:pgMar w:left="1440" w:top="229"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Valneva SE 6-K</w:t>
      </w:r>
    </w:p>
    <w:p>
      <w:pPr>
        <w:spacing w:after="0" w:line="248"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37" w:lineRule="exact"/>
        <w:rPr>
          <w:sz w:val="20"/>
          <w:szCs w:val="20"/>
          <w:color w:val="auto"/>
        </w:rPr>
      </w:pPr>
    </w:p>
    <w:p>
      <w:pPr>
        <w:jc w:val="both"/>
        <w:ind w:firstLine="8"/>
        <w:spacing w:after="0" w:line="268" w:lineRule="auto"/>
        <w:tabs>
          <w:tab w:leader="none" w:pos="485"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1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FOURTH AMENDMENT</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FOURTH AMENDMENT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and entered into as of January 3, 2022 (the “</w:t>
      </w:r>
      <w:r>
        <w:rPr>
          <w:rFonts w:ascii="Times New Roman" w:cs="Times New Roman" w:eastAsia="Times New Roman" w:hAnsi="Times New Roman"/>
          <w:sz w:val="18"/>
          <w:szCs w:val="18"/>
          <w:u w:val="single" w:color="auto"/>
          <w:color w:val="auto"/>
        </w:rPr>
        <w:t>Fourth Amendment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by and among </w:t>
      </w:r>
      <w:r>
        <w:rPr>
          <w:rFonts w:ascii="Times New Roman" w:cs="Times New Roman" w:eastAsia="Times New Roman" w:hAnsi="Times New Roman"/>
          <w:sz w:val="18"/>
          <w:szCs w:val="18"/>
          <w:b w:val="1"/>
          <w:bCs w:val="1"/>
          <w:color w:val="auto"/>
        </w:rPr>
        <w:t>VALNEVA AUSTRIA GMBH</w:t>
      </w:r>
      <w:r>
        <w:rPr>
          <w:rFonts w:ascii="Times New Roman" w:cs="Times New Roman" w:eastAsia="Times New Roman" w:hAnsi="Times New Roman"/>
          <w:sz w:val="18"/>
          <w:szCs w:val="18"/>
          <w:color w:val="auto"/>
        </w:rPr>
        <w:t>, a company organized and existing under the laws of Austria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party 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WILMINGTON TRUST, NATIONAL ASSOCIATION</w:t>
      </w:r>
      <w:r>
        <w:rPr>
          <w:rFonts w:ascii="Times New Roman" w:cs="Times New Roman" w:eastAsia="Times New Roman" w:hAnsi="Times New Roman"/>
          <w:sz w:val="18"/>
          <w:szCs w:val="18"/>
          <w:color w:val="auto"/>
        </w:rPr>
        <w:t>, a national banking association organized and existing under the laws of the United States of America (together with its Affiliates, successors, transferees and assignees) as the administrative agent (the “</w:t>
      </w:r>
      <w:r>
        <w:rPr>
          <w:rFonts w:ascii="Times New Roman" w:cs="Times New Roman" w:eastAsia="Times New Roman" w:hAnsi="Times New Roman"/>
          <w:sz w:val="18"/>
          <w:szCs w:val="18"/>
          <w:u w:val="single" w:color="auto"/>
          <w:color w:val="auto"/>
        </w:rPr>
        <w:t>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the Lenders and the Administrative Agent are party to that certain Credit Agreement, dated as of February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 (as amended by that Amendment and Waiver, dated as of June 24, 2020, as further amended by that Second Amendment, dated as of July 31, 2020, as further amended by that Third Amendment, dated as of January 15, 2021, as further amended by that Waiver, dated as of November 30, 2021, and as may be further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pursuant to which the Lenders have agreed to extend credit to the Borrower on the terms set forth therein;</w:t>
      </w:r>
    </w:p>
    <w:p>
      <w:pPr>
        <w:spacing w:after="0" w:line="179"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8.4(b)(ii) of the Credit Agreement, Holdings, the Borrower, and its subsidiaries, on a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are required to meet a quarterly Revenue Base for each of the Fiscal Quarters ending March 31, 2022 and June 30, 2022 of €22,500,000 and €25,000,000, respectively;</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has requested that the Lenders agree to certain amendments to the Credit Agreement and the Lenders have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subject to the terms and conditions of this Amendment.</w:t>
      </w:r>
    </w:p>
    <w:p>
      <w:pPr>
        <w:spacing w:after="0" w:line="15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agreements herein contained, and for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parties hereto agree as follows:</w:t>
      </w:r>
    </w:p>
    <w:p>
      <w:pPr>
        <w:spacing w:after="0" w:line="155" w:lineRule="exact"/>
        <w:rPr>
          <w:sz w:val="20"/>
          <w:szCs w:val="20"/>
          <w:color w:val="auto"/>
        </w:rPr>
      </w:pPr>
    </w:p>
    <w:p>
      <w:pPr>
        <w:ind w:firstLine="1304"/>
        <w:spacing w:after="0" w:line="286" w:lineRule="auto"/>
        <w:tabs>
          <w:tab w:leader="none" w:pos="177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 Loan Document</w:t>
      </w:r>
      <w:r>
        <w:rPr>
          <w:rFonts w:ascii="Times New Roman" w:cs="Times New Roman" w:eastAsia="Times New Roman" w:hAnsi="Times New Roman"/>
          <w:sz w:val="18"/>
          <w:szCs w:val="18"/>
          <w:color w:val="auto"/>
        </w:rPr>
        <w:t>. Capitalized terms used herein without definition shall have the meanings assigned to such terms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Credit Agreement. This Amendment shall constitute a Loan Document for all purposes of the Credit Agreement and the other Loan Documents.</w:t>
      </w:r>
    </w:p>
    <w:p>
      <w:pPr>
        <w:spacing w:after="0" w:line="154" w:lineRule="exact"/>
        <w:rPr>
          <w:rFonts w:ascii="Times New Roman" w:cs="Times New Roman" w:eastAsia="Times New Roman" w:hAnsi="Times New Roman"/>
          <w:sz w:val="18"/>
          <w:szCs w:val="18"/>
          <w:color w:val="auto"/>
        </w:rPr>
      </w:pPr>
    </w:p>
    <w:p>
      <w:pPr>
        <w:ind w:right="60" w:firstLine="1304"/>
        <w:spacing w:after="0" w:line="286" w:lineRule="auto"/>
        <w:tabs>
          <w:tab w:leader="none" w:pos="174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to Section 8.4</w:t>
      </w:r>
      <w:r>
        <w:rPr>
          <w:rFonts w:ascii="Times New Roman" w:cs="Times New Roman" w:eastAsia="Times New Roman" w:hAnsi="Times New Roman"/>
          <w:sz w:val="18"/>
          <w:szCs w:val="18"/>
          <w:color w:val="auto"/>
        </w:rPr>
        <w:t>. Effective as of the Fourth Amendment Effective Date, Section 8.4 of the Credit Agreement is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restated in full as follows: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300" w:firstLine="4"/>
        <w:spacing w:after="0" w:line="261" w:lineRule="auto"/>
        <w:tabs>
          <w:tab w:leader="none" w:pos="154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Liquidity</w:t>
      </w:r>
      <w:r>
        <w:rPr>
          <w:rFonts w:ascii="Times New Roman" w:cs="Times New Roman" w:eastAsia="Times New Roman" w:hAnsi="Times New Roman"/>
          <w:sz w:val="18"/>
          <w:szCs w:val="18"/>
          <w:color w:val="auto"/>
        </w:rPr>
        <w:t>. The Liquidity of Holdings, the Borrower and the Subsidiaries, on a consolidated basis, shall not (i) at any time on or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2020, be less than €35,000,000, (ii) at any time from July 1, 2020 through but excluding the Third Amendment Effective Date, be less than €75,000,000, (iii) at any time from the Third Amendment Effective Date through and including December 31, 2022, be less than €50,000,000, and (iv) at any time on and after January 1, 2023, be less than €35,000,000.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1" w:name="page72"/>
    <w:bookmarkEnd w:id="71"/>
    <w:p>
      <w:pPr>
        <w:jc w:val="both"/>
        <w:ind w:firstLine="8"/>
        <w:spacing w:after="0" w:line="268" w:lineRule="auto"/>
        <w:tabs>
          <w:tab w:leader="none" w:pos="485"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81" w:lineRule="exact"/>
        <w:rPr>
          <w:sz w:val="20"/>
          <w:szCs w:val="20"/>
          <w:color w:val="auto"/>
        </w:rPr>
      </w:pPr>
    </w:p>
    <w:p>
      <w:pPr>
        <w:ind w:left="1560" w:hanging="256"/>
        <w:spacing w:after="0"/>
        <w:tabs>
          <w:tab w:leader="none" w:pos="15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 Base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300" w:right="620" w:firstLine="4"/>
        <w:spacing w:after="0" w:line="266" w:lineRule="auto"/>
        <w:tabs>
          <w:tab w:leader="none" w:pos="150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(x) on or prior to June 30, 2020 and (y) after January 1, 2023, the Revenue Base of Holdings, the Borrower and its Subsidiaries, on a consolidated basis, for the most recently ended period of twelve consecutive months, shall not be less than €115,000,000.</w:t>
      </w:r>
    </w:p>
    <w:p>
      <w:pPr>
        <w:spacing w:after="0" w:line="175" w:lineRule="exact"/>
        <w:rPr>
          <w:rFonts w:ascii="Times New Roman" w:cs="Times New Roman" w:eastAsia="Times New Roman" w:hAnsi="Times New Roman"/>
          <w:sz w:val="18"/>
          <w:szCs w:val="18"/>
          <w:color w:val="auto"/>
        </w:rPr>
      </w:pPr>
    </w:p>
    <w:p>
      <w:pPr>
        <w:ind w:left="1300" w:right="40" w:firstLine="4"/>
        <w:spacing w:after="0" w:line="281" w:lineRule="auto"/>
        <w:tabs>
          <w:tab w:leader="none" w:pos="155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all times from January 1, 2021 through and including December 31, 2022 (except with respect to the Fiscal Quarters ending March 31, 2022 and June 30, 2022, for each of which there shall be no separate quarterly Revenue Base requirement, subject to subclauses (i) above and (iii) below), the Revenue Base of Holdings, the Borrower and its Subsidiaries, on a consolidated basis, for the most recently ended quarterly period, shall not be less than the amount set forth below opposite the period during which such quarterly period ends:</w:t>
      </w:r>
    </w:p>
    <w:p>
      <w:pPr>
        <w:spacing w:after="0" w:line="163" w:lineRule="exact"/>
        <w:rPr>
          <w:sz w:val="20"/>
          <w:szCs w:val="20"/>
          <w:color w:val="auto"/>
        </w:rPr>
      </w:pPr>
    </w:p>
    <w:tbl>
      <w:tblPr>
        <w:tblLayout w:type="fixed"/>
        <w:tblInd w:w="1310" w:type="dxa"/>
        <w:tblCellMar>
          <w:top w:w="0" w:type="dxa"/>
          <w:left w:w="0" w:type="dxa"/>
          <w:bottom w:w="0" w:type="dxa"/>
          <w:right w:w="0" w:type="dxa"/>
        </w:tblCellMar>
      </w:tblPr>
      <w:tr>
        <w:trPr>
          <w:trHeight w:val="252"/>
        </w:trPr>
        <w:tc>
          <w:tcPr>
            <w:tcW w:w="49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Date of Fiscal Quarter End</w:t>
            </w:r>
          </w:p>
        </w:tc>
        <w:tc>
          <w:tcPr>
            <w:tcW w:w="49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Quarterly Revenue Base</w:t>
            </w:r>
          </w:p>
        </w:tc>
      </w:tr>
      <w:tr>
        <w:trPr>
          <w:trHeight w:val="194"/>
        </w:trPr>
        <w:tc>
          <w:tcPr>
            <w:tcW w:w="4960" w:type="dxa"/>
            <w:vAlign w:val="bottom"/>
            <w:tcBorders>
              <w:left w:val="single" w:sz="8" w:color="auto"/>
              <w:bottom w:val="single" w:sz="8" w:color="auto"/>
              <w:right w:val="single" w:sz="8" w:color="auto"/>
            </w:tcBorders>
          </w:tcPr>
          <w:p>
            <w:pPr>
              <w:spacing w:after="0"/>
              <w:rPr>
                <w:sz w:val="16"/>
                <w:szCs w:val="16"/>
                <w:color w:val="auto"/>
              </w:rPr>
            </w:pPr>
          </w:p>
        </w:tc>
        <w:tc>
          <w:tcPr>
            <w:tcW w:w="4940" w:type="dxa"/>
            <w:vAlign w:val="bottom"/>
            <w:tcBorders>
              <w:bottom w:val="single" w:sz="8" w:color="auto"/>
              <w:right w:val="single" w:sz="8" w:color="auto"/>
            </w:tcBorders>
          </w:tcPr>
          <w:p>
            <w:pPr>
              <w:spacing w:after="0"/>
              <w:rPr>
                <w:sz w:val="16"/>
                <w:szCs w:val="16"/>
                <w:color w:val="auto"/>
              </w:rPr>
            </w:pPr>
          </w:p>
        </w:tc>
      </w:tr>
      <w:tr>
        <w:trPr>
          <w:trHeight w:val="228"/>
        </w:trPr>
        <w:tc>
          <w:tcPr>
            <w:tcW w:w="4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March 31, 2021</w:t>
            </w:r>
          </w:p>
        </w:tc>
        <w:tc>
          <w:tcPr>
            <w:tcW w:w="4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€14,000,000</w:t>
            </w:r>
          </w:p>
        </w:tc>
      </w:tr>
      <w:tr>
        <w:trPr>
          <w:trHeight w:val="198"/>
        </w:trPr>
        <w:tc>
          <w:tcPr>
            <w:tcW w:w="4960" w:type="dxa"/>
            <w:vAlign w:val="bottom"/>
            <w:tcBorders>
              <w:left w:val="single" w:sz="8" w:color="auto"/>
              <w:bottom w:val="single" w:sz="8" w:color="auto"/>
              <w:right w:val="single" w:sz="8" w:color="auto"/>
            </w:tcBorders>
          </w:tcPr>
          <w:p>
            <w:pPr>
              <w:spacing w:after="0"/>
              <w:rPr>
                <w:sz w:val="17"/>
                <w:szCs w:val="17"/>
                <w:color w:val="auto"/>
              </w:rPr>
            </w:pPr>
          </w:p>
        </w:tc>
        <w:tc>
          <w:tcPr>
            <w:tcW w:w="4940" w:type="dxa"/>
            <w:vAlign w:val="bottom"/>
            <w:tcBorders>
              <w:bottom w:val="single" w:sz="8" w:color="auto"/>
              <w:right w:val="single" w:sz="8" w:color="auto"/>
            </w:tcBorders>
          </w:tcPr>
          <w:p>
            <w:pPr>
              <w:spacing w:after="0"/>
              <w:rPr>
                <w:sz w:val="17"/>
                <w:szCs w:val="17"/>
                <w:color w:val="auto"/>
              </w:rPr>
            </w:pPr>
          </w:p>
        </w:tc>
      </w:tr>
      <w:tr>
        <w:trPr>
          <w:trHeight w:val="228"/>
        </w:trPr>
        <w:tc>
          <w:tcPr>
            <w:tcW w:w="4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June 30, 2021</w:t>
            </w:r>
          </w:p>
        </w:tc>
        <w:tc>
          <w:tcPr>
            <w:tcW w:w="4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€13,500,000</w:t>
            </w:r>
          </w:p>
        </w:tc>
      </w:tr>
      <w:tr>
        <w:trPr>
          <w:trHeight w:val="198"/>
        </w:trPr>
        <w:tc>
          <w:tcPr>
            <w:tcW w:w="4960" w:type="dxa"/>
            <w:vAlign w:val="bottom"/>
            <w:tcBorders>
              <w:left w:val="single" w:sz="8" w:color="auto"/>
              <w:bottom w:val="single" w:sz="8" w:color="auto"/>
              <w:right w:val="single" w:sz="8" w:color="auto"/>
            </w:tcBorders>
          </w:tcPr>
          <w:p>
            <w:pPr>
              <w:spacing w:after="0"/>
              <w:rPr>
                <w:sz w:val="17"/>
                <w:szCs w:val="17"/>
                <w:color w:val="auto"/>
              </w:rPr>
            </w:pPr>
          </w:p>
        </w:tc>
        <w:tc>
          <w:tcPr>
            <w:tcW w:w="4940" w:type="dxa"/>
            <w:vAlign w:val="bottom"/>
            <w:tcBorders>
              <w:bottom w:val="single" w:sz="8" w:color="auto"/>
              <w:right w:val="single" w:sz="8" w:color="auto"/>
            </w:tcBorders>
          </w:tcPr>
          <w:p>
            <w:pPr>
              <w:spacing w:after="0"/>
              <w:rPr>
                <w:sz w:val="17"/>
                <w:szCs w:val="17"/>
                <w:color w:val="auto"/>
              </w:rPr>
            </w:pPr>
          </w:p>
        </w:tc>
      </w:tr>
      <w:tr>
        <w:trPr>
          <w:trHeight w:val="228"/>
        </w:trPr>
        <w:tc>
          <w:tcPr>
            <w:tcW w:w="4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September 30, 2021</w:t>
            </w:r>
          </w:p>
        </w:tc>
        <w:tc>
          <w:tcPr>
            <w:tcW w:w="4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€16,000,000</w:t>
            </w:r>
          </w:p>
        </w:tc>
      </w:tr>
      <w:tr>
        <w:trPr>
          <w:trHeight w:val="198"/>
        </w:trPr>
        <w:tc>
          <w:tcPr>
            <w:tcW w:w="4960" w:type="dxa"/>
            <w:vAlign w:val="bottom"/>
            <w:tcBorders>
              <w:left w:val="single" w:sz="8" w:color="auto"/>
              <w:bottom w:val="single" w:sz="8" w:color="auto"/>
              <w:right w:val="single" w:sz="8" w:color="auto"/>
            </w:tcBorders>
          </w:tcPr>
          <w:p>
            <w:pPr>
              <w:spacing w:after="0"/>
              <w:rPr>
                <w:sz w:val="17"/>
                <w:szCs w:val="17"/>
                <w:color w:val="auto"/>
              </w:rPr>
            </w:pPr>
          </w:p>
        </w:tc>
        <w:tc>
          <w:tcPr>
            <w:tcW w:w="4940" w:type="dxa"/>
            <w:vAlign w:val="bottom"/>
            <w:tcBorders>
              <w:bottom w:val="single" w:sz="8" w:color="auto"/>
              <w:right w:val="single" w:sz="8" w:color="auto"/>
            </w:tcBorders>
          </w:tcPr>
          <w:p>
            <w:pPr>
              <w:spacing w:after="0"/>
              <w:rPr>
                <w:sz w:val="17"/>
                <w:szCs w:val="17"/>
                <w:color w:val="auto"/>
              </w:rPr>
            </w:pPr>
          </w:p>
        </w:tc>
      </w:tr>
      <w:tr>
        <w:trPr>
          <w:trHeight w:val="228"/>
        </w:trPr>
        <w:tc>
          <w:tcPr>
            <w:tcW w:w="4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December 31, 2021</w:t>
            </w:r>
          </w:p>
        </w:tc>
        <w:tc>
          <w:tcPr>
            <w:tcW w:w="4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€20,500,000</w:t>
            </w:r>
          </w:p>
        </w:tc>
      </w:tr>
      <w:tr>
        <w:trPr>
          <w:trHeight w:val="198"/>
        </w:trPr>
        <w:tc>
          <w:tcPr>
            <w:tcW w:w="4960" w:type="dxa"/>
            <w:vAlign w:val="bottom"/>
            <w:tcBorders>
              <w:left w:val="single" w:sz="8" w:color="auto"/>
              <w:bottom w:val="single" w:sz="8" w:color="auto"/>
              <w:right w:val="single" w:sz="8" w:color="auto"/>
            </w:tcBorders>
          </w:tcPr>
          <w:p>
            <w:pPr>
              <w:spacing w:after="0"/>
              <w:rPr>
                <w:sz w:val="17"/>
                <w:szCs w:val="17"/>
                <w:color w:val="auto"/>
              </w:rPr>
            </w:pPr>
          </w:p>
        </w:tc>
        <w:tc>
          <w:tcPr>
            <w:tcW w:w="4940" w:type="dxa"/>
            <w:vAlign w:val="bottom"/>
            <w:tcBorders>
              <w:bottom w:val="single" w:sz="8" w:color="auto"/>
              <w:right w:val="single" w:sz="8" w:color="auto"/>
            </w:tcBorders>
          </w:tcPr>
          <w:p>
            <w:pPr>
              <w:spacing w:after="0"/>
              <w:rPr>
                <w:sz w:val="17"/>
                <w:szCs w:val="17"/>
                <w:color w:val="auto"/>
              </w:rPr>
            </w:pPr>
          </w:p>
        </w:tc>
      </w:tr>
      <w:tr>
        <w:trPr>
          <w:trHeight w:val="228"/>
        </w:trPr>
        <w:tc>
          <w:tcPr>
            <w:tcW w:w="4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March 31, 2022</w:t>
            </w:r>
          </w:p>
        </w:tc>
        <w:tc>
          <w:tcPr>
            <w:tcW w:w="4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198"/>
        </w:trPr>
        <w:tc>
          <w:tcPr>
            <w:tcW w:w="4960" w:type="dxa"/>
            <w:vAlign w:val="bottom"/>
            <w:tcBorders>
              <w:left w:val="single" w:sz="8" w:color="auto"/>
              <w:bottom w:val="single" w:sz="8" w:color="auto"/>
              <w:right w:val="single" w:sz="8" w:color="auto"/>
            </w:tcBorders>
          </w:tcPr>
          <w:p>
            <w:pPr>
              <w:spacing w:after="0"/>
              <w:rPr>
                <w:sz w:val="17"/>
                <w:szCs w:val="17"/>
                <w:color w:val="auto"/>
              </w:rPr>
            </w:pPr>
          </w:p>
        </w:tc>
        <w:tc>
          <w:tcPr>
            <w:tcW w:w="4940" w:type="dxa"/>
            <w:vAlign w:val="bottom"/>
            <w:tcBorders>
              <w:bottom w:val="single" w:sz="8" w:color="auto"/>
              <w:right w:val="single" w:sz="8" w:color="auto"/>
            </w:tcBorders>
          </w:tcPr>
          <w:p>
            <w:pPr>
              <w:spacing w:after="0"/>
              <w:rPr>
                <w:sz w:val="17"/>
                <w:szCs w:val="17"/>
                <w:color w:val="auto"/>
              </w:rPr>
            </w:pPr>
          </w:p>
        </w:tc>
      </w:tr>
      <w:tr>
        <w:trPr>
          <w:trHeight w:val="228"/>
        </w:trPr>
        <w:tc>
          <w:tcPr>
            <w:tcW w:w="4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June 30, 2022</w:t>
            </w:r>
          </w:p>
        </w:tc>
        <w:tc>
          <w:tcPr>
            <w:tcW w:w="4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198"/>
        </w:trPr>
        <w:tc>
          <w:tcPr>
            <w:tcW w:w="4960" w:type="dxa"/>
            <w:vAlign w:val="bottom"/>
            <w:tcBorders>
              <w:left w:val="single" w:sz="8" w:color="auto"/>
              <w:bottom w:val="single" w:sz="8" w:color="auto"/>
              <w:right w:val="single" w:sz="8" w:color="auto"/>
            </w:tcBorders>
          </w:tcPr>
          <w:p>
            <w:pPr>
              <w:spacing w:after="0"/>
              <w:rPr>
                <w:sz w:val="17"/>
                <w:szCs w:val="17"/>
                <w:color w:val="auto"/>
              </w:rPr>
            </w:pPr>
          </w:p>
        </w:tc>
        <w:tc>
          <w:tcPr>
            <w:tcW w:w="4940" w:type="dxa"/>
            <w:vAlign w:val="bottom"/>
            <w:tcBorders>
              <w:bottom w:val="single" w:sz="8" w:color="auto"/>
              <w:right w:val="single" w:sz="8" w:color="auto"/>
            </w:tcBorders>
          </w:tcPr>
          <w:p>
            <w:pPr>
              <w:spacing w:after="0"/>
              <w:rPr>
                <w:sz w:val="17"/>
                <w:szCs w:val="17"/>
                <w:color w:val="auto"/>
              </w:rPr>
            </w:pPr>
          </w:p>
        </w:tc>
      </w:tr>
      <w:tr>
        <w:trPr>
          <w:trHeight w:val="228"/>
        </w:trPr>
        <w:tc>
          <w:tcPr>
            <w:tcW w:w="4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September 30, 2022</w:t>
            </w:r>
          </w:p>
        </w:tc>
        <w:tc>
          <w:tcPr>
            <w:tcW w:w="4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€27,500,000</w:t>
            </w:r>
          </w:p>
        </w:tc>
      </w:tr>
      <w:tr>
        <w:trPr>
          <w:trHeight w:val="198"/>
        </w:trPr>
        <w:tc>
          <w:tcPr>
            <w:tcW w:w="4960" w:type="dxa"/>
            <w:vAlign w:val="bottom"/>
            <w:tcBorders>
              <w:left w:val="single" w:sz="8" w:color="auto"/>
              <w:bottom w:val="single" w:sz="8" w:color="auto"/>
              <w:right w:val="single" w:sz="8" w:color="auto"/>
            </w:tcBorders>
          </w:tcPr>
          <w:p>
            <w:pPr>
              <w:spacing w:after="0"/>
              <w:rPr>
                <w:sz w:val="17"/>
                <w:szCs w:val="17"/>
                <w:color w:val="auto"/>
              </w:rPr>
            </w:pPr>
          </w:p>
        </w:tc>
        <w:tc>
          <w:tcPr>
            <w:tcW w:w="4940" w:type="dxa"/>
            <w:vAlign w:val="bottom"/>
            <w:tcBorders>
              <w:bottom w:val="single" w:sz="8" w:color="auto"/>
              <w:right w:val="single" w:sz="8" w:color="auto"/>
            </w:tcBorders>
          </w:tcPr>
          <w:p>
            <w:pPr>
              <w:spacing w:after="0"/>
              <w:rPr>
                <w:sz w:val="17"/>
                <w:szCs w:val="17"/>
                <w:color w:val="auto"/>
              </w:rPr>
            </w:pPr>
          </w:p>
        </w:tc>
      </w:tr>
      <w:tr>
        <w:trPr>
          <w:trHeight w:val="228"/>
        </w:trPr>
        <w:tc>
          <w:tcPr>
            <w:tcW w:w="4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December 31, 2022</w:t>
            </w:r>
          </w:p>
        </w:tc>
        <w:tc>
          <w:tcPr>
            <w:tcW w:w="4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€28,750,000</w:t>
            </w:r>
          </w:p>
        </w:tc>
      </w:tr>
      <w:tr>
        <w:trPr>
          <w:trHeight w:val="198"/>
        </w:trPr>
        <w:tc>
          <w:tcPr>
            <w:tcW w:w="4960" w:type="dxa"/>
            <w:vAlign w:val="bottom"/>
            <w:tcBorders>
              <w:left w:val="single" w:sz="8" w:color="auto"/>
              <w:bottom w:val="single" w:sz="8" w:color="auto"/>
              <w:right w:val="single" w:sz="8" w:color="auto"/>
            </w:tcBorders>
          </w:tcPr>
          <w:p>
            <w:pPr>
              <w:spacing w:after="0"/>
              <w:rPr>
                <w:sz w:val="17"/>
                <w:szCs w:val="17"/>
                <w:color w:val="auto"/>
              </w:rPr>
            </w:pPr>
          </w:p>
        </w:tc>
        <w:tc>
          <w:tcPr>
            <w:tcW w:w="4940" w:type="dxa"/>
            <w:vAlign w:val="bottom"/>
            <w:tcBorders>
              <w:bottom w:val="single" w:sz="8" w:color="auto"/>
              <w:right w:val="single" w:sz="8" w:color="auto"/>
            </w:tcBorders>
          </w:tcPr>
          <w:p>
            <w:pPr>
              <w:spacing w:after="0"/>
              <w:rPr>
                <w:sz w:val="17"/>
                <w:szCs w:val="17"/>
                <w:color w:val="auto"/>
              </w:rPr>
            </w:pPr>
          </w:p>
        </w:tc>
      </w:tr>
    </w:tbl>
    <w:p>
      <w:pPr>
        <w:spacing w:after="0" w:line="198" w:lineRule="exact"/>
        <w:rPr>
          <w:sz w:val="20"/>
          <w:szCs w:val="20"/>
          <w:color w:val="auto"/>
        </w:rPr>
      </w:pPr>
    </w:p>
    <w:p>
      <w:pPr>
        <w:ind w:left="1300" w:right="100" w:firstLine="4"/>
        <w:spacing w:after="0" w:line="282" w:lineRule="auto"/>
        <w:tabs>
          <w:tab w:leader="none" w:pos="161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Base of Holdings, the Borrower and its Subsidiaries, on a consolidated basis, for the six-month period ending June 30, 2022, shall not be less than €47,500,000.”</w:t>
      </w:r>
    </w:p>
    <w:p>
      <w:pPr>
        <w:spacing w:after="0" w:line="158" w:lineRule="exact"/>
        <w:rPr>
          <w:sz w:val="20"/>
          <w:szCs w:val="20"/>
          <w:color w:val="auto"/>
        </w:rPr>
      </w:pPr>
    </w:p>
    <w:p>
      <w:pPr>
        <w:jc w:val="both"/>
        <w:ind w:firstLine="1304"/>
        <w:spacing w:after="0" w:line="262"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Conditions to Effectiveness of Amendment</w:t>
      </w:r>
      <w:r>
        <w:rPr>
          <w:rFonts w:ascii="Times New Roman" w:cs="Times New Roman" w:eastAsia="Times New Roman" w:hAnsi="Times New Roman"/>
          <w:sz w:val="18"/>
          <w:szCs w:val="18"/>
          <w:color w:val="auto"/>
        </w:rPr>
        <w:t>. This Amendment shall become effective on the Fourth Amendment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 receipt by the Administrative Agent of a counterpart signature to this Amendment duly executed and delivered by the Borrower, the Lenders and the Administrative Agent, (b) receipt by OrbiMed of an amendment fee in an amount equal to [***] and (c) receipt by Deerfield of an amendment fee in an amount equal to [***].</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2" w:name="page73"/>
    <w:bookmarkEnd w:id="72"/>
    <w:p>
      <w:pPr>
        <w:jc w:val="both"/>
        <w:ind w:firstLine="8"/>
        <w:spacing w:after="0" w:line="268" w:lineRule="auto"/>
        <w:tabs>
          <w:tab w:leader="none" w:pos="485"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78" w:lineRule="exact"/>
        <w:rPr>
          <w:rFonts w:ascii="Times New Roman" w:cs="Times New Roman" w:eastAsia="Times New Roman" w:hAnsi="Times New Roman"/>
          <w:sz w:val="18"/>
          <w:szCs w:val="18"/>
          <w:b w:val="1"/>
          <w:bCs w:val="1"/>
          <w:color w:val="auto"/>
        </w:rPr>
      </w:pPr>
    </w:p>
    <w:p>
      <w:pPr>
        <w:jc w:val="both"/>
        <w:ind w:firstLine="1304"/>
        <w:spacing w:after="0" w:line="262" w:lineRule="auto"/>
        <w:tabs>
          <w:tab w:leader="none" w:pos="189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The Loan Parties shall pay all reasonable and documented out-of-pocket fees and expenses incurred by OrbiMed,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Deerfield and the Administrative Agent in connection with the preparation, negotiation, execution, delivery and administration of this Amendment and the other Loan Documents, including schedules and exhibits, or any amendments, supplements, modifications or waivers of the provisions hereof or thereof (whether or not the transactions contemplated hereby or thereby shall be consummated).</w:t>
      </w:r>
    </w:p>
    <w:p>
      <w:pPr>
        <w:spacing w:after="0" w:line="176" w:lineRule="exact"/>
        <w:rPr>
          <w:rFonts w:ascii="Times New Roman" w:cs="Times New Roman" w:eastAsia="Times New Roman" w:hAnsi="Times New Roman"/>
          <w:sz w:val="18"/>
          <w:szCs w:val="18"/>
          <w:color w:val="auto"/>
        </w:rPr>
      </w:pPr>
    </w:p>
    <w:p>
      <w:pPr>
        <w:ind w:firstLine="1304"/>
        <w:spacing w:after="0" w:line="286" w:lineRule="auto"/>
        <w:tabs>
          <w:tab w:leader="none" w:pos="178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 The Borrower represents and warrants to the Administrative Agent and each Lender,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of this Amendment, as follows:</w:t>
      </w:r>
    </w:p>
    <w:p>
      <w:pPr>
        <w:spacing w:after="0" w:line="159" w:lineRule="exact"/>
        <w:rPr>
          <w:sz w:val="20"/>
          <w:szCs w:val="20"/>
          <w:color w:val="auto"/>
        </w:rPr>
      </w:pPr>
    </w:p>
    <w:p>
      <w:pPr>
        <w:jc w:val="both"/>
        <w:ind w:firstLine="1304"/>
        <w:spacing w:after="0" w:line="256" w:lineRule="auto"/>
        <w:tabs>
          <w:tab w:leader="none" w:pos="181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this Amendment, the representations and warranties of the Borrower and the other Loan Parties contained in the Credit Agreement or any other Loan Document are true and correct in all material respects (except with respect to any representations and warranties that are qualified by materiality or Material Adverse Effect, which representations and warranties are true and correct in all respects) as of the date hereof, except to the extent that such representations and warranties specifically relate to an earlier date, in which case, each is true and correct in all material respects (except with respect to any representations and warranties that are qualified by materiality or Material Adverse Effect, which representations and warranties are true and correct in all respects) as of such earlier date.</w:t>
      </w:r>
    </w:p>
    <w:p>
      <w:pPr>
        <w:spacing w:after="0" w:line="187"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under the Credit Agreement has occurred and is continuing or would result from the effectiveness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Amendment.</w:t>
      </w:r>
    </w:p>
    <w:p>
      <w:pPr>
        <w:spacing w:after="0" w:line="203" w:lineRule="exact"/>
        <w:rPr>
          <w:sz w:val="20"/>
          <w:szCs w:val="20"/>
          <w:color w:val="auto"/>
        </w:rPr>
      </w:pPr>
    </w:p>
    <w:p>
      <w:pPr>
        <w:jc w:val="both"/>
        <w:ind w:firstLine="1304"/>
        <w:spacing w:after="0" w:line="256" w:lineRule="auto"/>
        <w:tabs>
          <w:tab w:leader="none" w:pos="178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Implied Amendment or Waiver</w:t>
      </w:r>
      <w:r>
        <w:rPr>
          <w:rFonts w:ascii="Times New Roman" w:cs="Times New Roman" w:eastAsia="Times New Roman" w:hAnsi="Times New Roman"/>
          <w:sz w:val="18"/>
          <w:szCs w:val="18"/>
          <w:color w:val="auto"/>
        </w:rPr>
        <w:t>. Except as expressly set forth in this Amendment, this Amendment shall not, by implication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otherwise, limit, impair, constitute a waiver of or otherwise affect any rights or remedies of the Administrative Agent or any Lender under the Credit Agreement or the other Loan Documents, or alter, modify, amend or in any way affect any of the terms, obligations or covenants contained in the Credit Agreement or the other Loan Documents, all of which shall continue in full force and effect. Nothing in this Amendment shall be construed to imply any willingness on the part of the Administrative Agent or any Lender to agree to or grant any similar or future amendment, consent or waiver of any of the terms and conditions of the Credit Agreement or the other Loan Documents. This Amendment is not intended by the parties hereto to be, and shall not be construed to be, a novation of the Credit Agreement or any other Loan Document or an accord and satisfaction with respect thereto.</w:t>
      </w:r>
    </w:p>
    <w:p>
      <w:pPr>
        <w:spacing w:after="0" w:line="182" w:lineRule="exact"/>
        <w:rPr>
          <w:rFonts w:ascii="Times New Roman" w:cs="Times New Roman" w:eastAsia="Times New Roman" w:hAnsi="Times New Roman"/>
          <w:sz w:val="18"/>
          <w:szCs w:val="18"/>
          <w:color w:val="auto"/>
        </w:rPr>
      </w:pPr>
    </w:p>
    <w:p>
      <w:pPr>
        <w:jc w:val="both"/>
        <w:ind w:firstLine="1304"/>
        <w:spacing w:after="0" w:line="259" w:lineRule="auto"/>
        <w:tabs>
          <w:tab w:leader="none" w:pos="177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 and Release</w:t>
      </w:r>
      <w:r>
        <w:rPr>
          <w:rFonts w:ascii="Times New Roman" w:cs="Times New Roman" w:eastAsia="Times New Roman" w:hAnsi="Times New Roman"/>
          <w:sz w:val="18"/>
          <w:szCs w:val="18"/>
          <w:color w:val="auto"/>
        </w:rPr>
        <w:t>. TO INDUCE THE ADMINISTRATIVE AGENT AND THE LENDERS TO AGREE TO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BORROWER AND ITS AFFILIATES (COLLECTIVELY, THE “</w:t>
      </w:r>
      <w:r>
        <w:rPr>
          <w:rFonts w:ascii="Times New Roman" w:cs="Times New Roman" w:eastAsia="Times New Roman" w:hAnsi="Times New Roman"/>
          <w:sz w:val="18"/>
          <w:szCs w:val="18"/>
          <w:b w:val="1"/>
          <w:bCs w:val="1"/>
          <w:color w:val="auto"/>
        </w:rPr>
        <w:t>RELEASING PARTIES</w:t>
      </w:r>
      <w:r>
        <w:rPr>
          <w:rFonts w:ascii="Times New Roman" w:cs="Times New Roman" w:eastAsia="Times New Roman" w:hAnsi="Times New Roman"/>
          <w:sz w:val="18"/>
          <w:szCs w:val="18"/>
          <w:color w:val="auto"/>
        </w:rPr>
        <w:t>”) REPRESENT AND WARRANT THAT, AS OF THE DATE HEREOF, THERE ARE NO CLAIMS OR OFFSETS AGAINST, OR RIGHTS OF RECOUPMENT WITH RESPECT TO, OR DISPUTES OF, OR DEFENSES OR COUNTERCLAIMS TO, THEIR OBLIGATIONS UNDER THE LOAN DOCUMENTS, AND IN ACCORDANCE THEREWITH THEY:</w:t>
      </w:r>
    </w:p>
    <w:p>
      <w:pPr>
        <w:spacing w:after="0" w:line="183" w:lineRule="exact"/>
        <w:rPr>
          <w:sz w:val="20"/>
          <w:szCs w:val="20"/>
          <w:color w:val="auto"/>
        </w:rPr>
      </w:pPr>
    </w:p>
    <w:p>
      <w:pPr>
        <w:ind w:left="740" w:right="20" w:firstLine="564"/>
        <w:spacing w:after="0" w:line="282" w:lineRule="auto"/>
        <w:tabs>
          <w:tab w:leader="none" w:pos="214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AND ALL SUCH CLAIMS, OFFSETS, RIGHTS OF RECOUPMENT, DISPUTES, DEFENSES AND COUNTERCLAIMS, WHETHER KNOWN OR UNKNOWN, ARISING PRIOR TO THE DATE HEREOF; AND</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3" w:name="page74"/>
    <w:bookmarkEnd w:id="73"/>
    <w:p>
      <w:pPr>
        <w:jc w:val="both"/>
        <w:ind w:firstLine="8"/>
        <w:spacing w:after="0" w:line="268" w:lineRule="auto"/>
        <w:tabs>
          <w:tab w:leader="none" w:pos="485"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82" w:lineRule="exact"/>
        <w:rPr>
          <w:rFonts w:ascii="Times New Roman" w:cs="Times New Roman" w:eastAsia="Times New Roman" w:hAnsi="Times New Roman"/>
          <w:sz w:val="18"/>
          <w:szCs w:val="18"/>
          <w:b w:val="1"/>
          <w:bCs w:val="1"/>
          <w:color w:val="auto"/>
        </w:rPr>
      </w:pPr>
    </w:p>
    <w:p>
      <w:pPr>
        <w:jc w:val="both"/>
        <w:ind w:left="740" w:firstLine="564"/>
        <w:spacing w:after="0" w:line="253" w:lineRule="auto"/>
        <w:tabs>
          <w:tab w:leader="none" w:pos="185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FOREVER RELEASE, RELIEVE, AND DISCHARGE THE ADMINISTRATIVE AGENT AND EACH LENDER AND EACH OF THEIR RESPECTIVE OFFICERS, DIRECTORS, SHAREHOLDERS, MEMBERS, PARTNERS, PREDECESSORS, SUCCESSORS, ASSIGNS, ATTORNEYS, ACCOUNTANTS, AGENTS, EMPLOYEES, AND REPRESENTATIVES (COLLECTIVELY, THE “</w:t>
      </w:r>
      <w:r>
        <w:rPr>
          <w:rFonts w:ascii="Times New Roman" w:cs="Times New Roman" w:eastAsia="Times New Roman" w:hAnsi="Times New Roman"/>
          <w:sz w:val="18"/>
          <w:szCs w:val="18"/>
          <w:b w:val="1"/>
          <w:bCs w:val="1"/>
          <w:color w:val="auto"/>
        </w:rPr>
        <w:t>RELEASED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OF THEM, FROM ANY AND ALL CLAIMS, LIABILITIES, DEMANDS, CAUSES OF ACTION, DEBTS,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PROMISES, ACTS, AGREEMENTS, AND DAMAGES, OF WHATEVER KIND OR NATURE, WHETHER KNOWN OR UNKNOWN, SUSPECTED OR UNSUSPECTED, CONTINGENT OR FIXED, LIQUIDATED OR UNLIQUIDATED, MATURED OR UNMATURED, WHETHER AT LAW OR IN EQUITY, WHICH THE RELEASING PARTIES EVER HAD, NOW HAVE, OR MAY, SHALL, OR CAN HEREAFTER HAVE, DIRECTLY OR INDIRECTLY ARISING OUT OF OR IN ANY WAY BASED UPON, CONNECTED WITH, OR RELATED TO MATTERS, THINGS, ACTS, CONDUCT, AND/OR OMISSIONS AT ANY TIME FROM THE BEGINNING OF THE WORLD THROUGH AND INCLUDING THE DATE HEREOF, INCLUDING WITHOUT LIMITATION ANY AND ALL CLAIMS AGAINST THE RELEASED PARTIES ARISING UNDER OR RELATED TO ANY OF THE LOAN DOCUMENTS OR ANY OF THE TRANSACTIONS CONTEMPLATED THEREBY.</w:t>
      </w:r>
    </w:p>
    <w:p>
      <w:pPr>
        <w:spacing w:after="0" w:line="189" w:lineRule="exact"/>
        <w:rPr>
          <w:rFonts w:ascii="Times New Roman" w:cs="Times New Roman" w:eastAsia="Times New Roman" w:hAnsi="Times New Roman"/>
          <w:sz w:val="18"/>
          <w:szCs w:val="18"/>
          <w:color w:val="auto"/>
        </w:rPr>
      </w:pPr>
    </w:p>
    <w:p>
      <w:pPr>
        <w:jc w:val="both"/>
        <w:ind w:left="740" w:firstLine="564"/>
        <w:spacing w:after="0" w:line="254" w:lineRule="auto"/>
        <w:tabs>
          <w:tab w:leader="none" w:pos="1937"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RELEASE CONTAINED HEREIN, THE RELEASING PARTIES ACKNOWLEDGE THAT THEY ARE AWARE THAT THEY MAY HEREAFTER DISCOVER CLAIMS PRESENTLY UNKNOWN OR UNSUSPECTED, OR FACTS IN ADDITION TO OR DIFFERENT FROM THOSE WHICH THEY KNOW OR BELIEVE TO BE TRUE, WITH RESPECT TO THE MATTERS RELEASED HEREIN. NEVERTHELESS, IT IS THE INTENTION OF THE RELEASING PARTIES, THROUGH THIS AMENDMENT AND WITH ADVICE OF COUNSEL, FULLY, FINALLY, AND FOREVER TO RELEASE ALL SUCH MATTERS, AND ALL CLAIMS RELATED THERETO, WHICH DO NOW EXIST, OR HERETOFORE HAVE EXISTED. IN FURTHERANCE OF SUCH INTENTION, THE RELEASES HEREIN GIVEN SHALL BE AND REMAIN IN EFFECT AS A FULL AND COMPLETE RELEASE OF SUCH MATTERS NOTWITHSTANDING THE DISCOVERY OR EXISTENCE OF ANY SUCH ADDITIONAL OR DIFFERENT CLAIMS OR FACTS RELATED THERETO.</w:t>
      </w:r>
    </w:p>
    <w:p>
      <w:pPr>
        <w:spacing w:after="0" w:line="188" w:lineRule="exact"/>
        <w:rPr>
          <w:rFonts w:ascii="Times New Roman" w:cs="Times New Roman" w:eastAsia="Times New Roman" w:hAnsi="Times New Roman"/>
          <w:sz w:val="18"/>
          <w:szCs w:val="18"/>
          <w:color w:val="auto"/>
        </w:rPr>
      </w:pPr>
    </w:p>
    <w:p>
      <w:pPr>
        <w:jc w:val="both"/>
        <w:ind w:left="740" w:firstLine="564"/>
        <w:spacing w:after="0" w:line="261" w:lineRule="auto"/>
        <w:tabs>
          <w:tab w:leader="none" w:pos="1837"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RELEASING PARTIES COVENANT AND AGREE NOT TO BRING ANY CLAIM, ACTION, SUIT, OR PROCEEDING AGAINST THE RELEASED PARTIES, DIRECTLY OR INDIRECTLY, REGARDING OR RELATED IN ANY MANNER TO THE MATTERS RELEASED HEREBY, AND FURTHER COVENANT AND AGREE THAT THIS AMENDMENT IS A BAR TO ANY SUCH CLAIM, ACTION, SUIT, OR PROCEEDING.</w:t>
      </w:r>
    </w:p>
    <w:p>
      <w:pPr>
        <w:spacing w:after="0" w:line="179" w:lineRule="exact"/>
        <w:rPr>
          <w:rFonts w:ascii="Times New Roman" w:cs="Times New Roman" w:eastAsia="Times New Roman" w:hAnsi="Times New Roman"/>
          <w:sz w:val="18"/>
          <w:szCs w:val="18"/>
          <w:color w:val="auto"/>
        </w:rPr>
      </w:pPr>
    </w:p>
    <w:p>
      <w:pPr>
        <w:jc w:val="both"/>
        <w:ind w:left="740" w:firstLine="564"/>
        <w:spacing w:after="0" w:line="266" w:lineRule="auto"/>
        <w:tabs>
          <w:tab w:leader="none" w:pos="1993"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RELEASING PARTIES REPRESENT AND WARRANT TO THE RELEASED PARTIES THAT THEY HAVE NOT HERETOFORE ASSIGNED OR TRANSFERRED, OR PURPORTED TO ASSIGN OR TRANSFER, TO ANY PERSON OR ENTITY ANY CLAIMS OR OTHER MATTERS HEREIN RELEASED.</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4" w:name="page75"/>
    <w:bookmarkEnd w:id="74"/>
    <w:p>
      <w:pPr>
        <w:jc w:val="both"/>
        <w:ind w:firstLine="8"/>
        <w:spacing w:after="0" w:line="268" w:lineRule="auto"/>
        <w:tabs>
          <w:tab w:leader="none" w:pos="485"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83" w:lineRule="exact"/>
        <w:rPr>
          <w:sz w:val="20"/>
          <w:szCs w:val="20"/>
          <w:color w:val="auto"/>
        </w:rPr>
      </w:pPr>
    </w:p>
    <w:p>
      <w:pPr>
        <w:jc w:val="both"/>
        <w:ind w:left="740" w:firstLine="564"/>
        <w:spacing w:after="0" w:line="258" w:lineRule="auto"/>
        <w:tabs>
          <w:tab w:leader="none" w:pos="197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RELEASING PARTIES ACKNOWLEDGE THAT THEY HAVE HAD THE BENEFIT OF INDEPENDENT LEGAL ADVICE WITH RESPECT TO THE ADVISABILITY OF ENTERING INTO THIS RELEASE AND HEREBY KNOWINGLY, AND UPON SUCH ADVICE OF COUNSEL, WAIVE ANY AND ALL APPLICABLE RIGHTS AND BENEFITS UNDER, AND PROTECTIONS OF, CALIFORNIA CIVIL CODE SECTION 1542, AND ANY AND ALL STATUTES AND DOCTRINES OF SIMILAR EFFECT. CALIFORNIA CIVIL CODE SECTION 1542 PROVIDES AS FOLLOWS:</w:t>
      </w:r>
    </w:p>
    <w:p>
      <w:pPr>
        <w:spacing w:after="0" w:line="181" w:lineRule="exact"/>
        <w:rPr>
          <w:sz w:val="20"/>
          <w:szCs w:val="20"/>
          <w:color w:val="auto"/>
        </w:rPr>
      </w:pPr>
    </w:p>
    <w:p>
      <w:pPr>
        <w:jc w:val="both"/>
        <w:ind w:left="130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1" w:lineRule="exact"/>
        <w:rPr>
          <w:sz w:val="20"/>
          <w:szCs w:val="20"/>
          <w:color w:val="auto"/>
        </w:rPr>
      </w:pPr>
    </w:p>
    <w:p>
      <w:pPr>
        <w:jc w:val="both"/>
        <w:ind w:firstLine="1304"/>
        <w:spacing w:after="0" w:line="254"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Inside Information</w:t>
      </w:r>
      <w:r>
        <w:rPr>
          <w:rFonts w:ascii="Times New Roman" w:cs="Times New Roman" w:eastAsia="Times New Roman" w:hAnsi="Times New Roman"/>
          <w:sz w:val="18"/>
          <w:szCs w:val="18"/>
          <w:color w:val="auto"/>
        </w:rPr>
        <w:t>. The Borrower, on its own behalf and behalf of Holdings, hereby represents and warrants to the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Administrative Agent that (a) the terms of this Fourth Amendment do not constitute Inside Information, and (b) no other Inside Information has been provided to any Public-Side Lender on or prior to the Fourth Amendment Effective Date. Without limiting the provisions of Section 7.15 of the Credit Agreement, the parties hereto hereby agree that neither any Loan Party nor the Administrative Agent shall, and each such Person shall cause each of its employees, officers, directors (or equivalent persons), Affiliates, attorneys, agents and representatives not to, provide any Public-Side Lender or any of its attorneys, agents or representatives (other than the Administrative Agent and its Outside Counsel) with any Inside Information from and after the Fourth Amendment Effective Date without the express prior written consent of such Public-Side Lender (which consent may be provided by written notice to the Borrower in a specified case or on an ongoing basis (subject in any case to such Public-Side Lender’s right to withdraw such consent in a subsequent written notice to the Borrower)).</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7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 Governing Law</w:t>
      </w:r>
      <w:r>
        <w:rPr>
          <w:rFonts w:ascii="Times New Roman" w:cs="Times New Roman" w:eastAsia="Times New Roman" w:hAnsi="Times New Roman"/>
          <w:sz w:val="18"/>
          <w:szCs w:val="18"/>
          <w:color w:val="auto"/>
        </w:rPr>
        <w:t>. This Amendment may be executed by the Parties in several counterparts, each of which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original and all of which shall constitute together but one and the same agreement. This Amendment shall become effective when counterparts hereof executed on behalf of the Borrower, the Lenders and the Administrative Agent shall have been received by the Administrative Agent. Delivery of an executed counterpart of a signature page to this Amendment by email (in “pdf,” “tiff” or similar format) or telecopy shall be effective as delivery of a manually executed counterpart of this Amendment. THIS AMENDMENT AND ANY CLAIMS, CONTROVERSY, DISPUTE OR CAUSE OF ACTION (WHETHER IN CONTRACT OR TORT OR OTHERWISE) BASED UPON, ARISING OUT OF OR RELATING TO THIS AMENDMENT SHALL BE GOVERNED BY, AND CONSTRUED IN ACCORDANCE WITH, THE INTERNAL LAWS OF THE STATE OF NEW YORK (INCLUDING FOR SUCH PURPOSE SECTIONS 5-1401 AND 5-1402 OF THE GENERAL OBLIGATIONS LAW OF THE STATE OF NEW YORK) WITHOUT REGARD TO ANY CHOICE OR CONFLICT OF LAWS PROVISIONS OR RULES THAT WOULD REQUIRE THE APPLICATION OF THE LAWS OF ANY OTHER JURISDICTION.</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5" w:name="page76"/>
    <w:bookmarkEnd w:id="75"/>
    <w:p>
      <w:pPr>
        <w:jc w:val="both"/>
        <w:ind w:firstLine="8"/>
        <w:spacing w:after="0" w:line="268" w:lineRule="auto"/>
        <w:tabs>
          <w:tab w:leader="none" w:pos="485"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78"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87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Direction</w:t>
      </w:r>
      <w:r>
        <w:rPr>
          <w:rFonts w:ascii="Times New Roman" w:cs="Times New Roman" w:eastAsia="Times New Roman" w:hAnsi="Times New Roman"/>
          <w:sz w:val="18"/>
          <w:szCs w:val="18"/>
          <w:color w:val="auto"/>
        </w:rPr>
        <w:t>. The Lenders party hereto, constituting Required Lenders under the Credit Agreement, hereby authorize and direct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to execute and deliver this Amendment.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6" w:name="page77"/>
    <w:bookmarkEnd w:id="76"/>
    <w:p>
      <w:pPr>
        <w:jc w:val="both"/>
        <w:ind w:firstLine="8"/>
        <w:spacing w:after="0" w:line="268" w:lineRule="auto"/>
        <w:tabs>
          <w:tab w:leader="none" w:pos="485"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63"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Amendment to be executed by their respective officers thereunto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day and year first above written.</w:t>
      </w:r>
    </w:p>
    <w:p>
      <w:pPr>
        <w:spacing w:after="0" w:line="15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VALNEVA AUSTRIA GMBH</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17145</wp:posOffset>
            </wp:positionV>
            <wp:extent cx="33515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Title: [***]</w:t>
      </w:r>
    </w:p>
    <w:p>
      <w:pPr>
        <w:spacing w:after="0" w:line="23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17145</wp:posOffset>
            </wp:positionV>
            <wp:extent cx="33515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Title: [***]</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Fourth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7" w:name="page78"/>
    <w:bookmarkEnd w:id="77"/>
    <w:p>
      <w:pPr>
        <w:jc w:val="both"/>
        <w:ind w:firstLine="8"/>
        <w:spacing w:after="0" w:line="268" w:lineRule="auto"/>
        <w:tabs>
          <w:tab w:leader="none" w:pos="485"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00" w:lineRule="exact"/>
        <w:rPr>
          <w:sz w:val="20"/>
          <w:szCs w:val="20"/>
          <w:color w:val="auto"/>
        </w:rPr>
      </w:pPr>
    </w:p>
    <w:p>
      <w:pPr>
        <w:spacing w:after="0" w:line="29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ORBIMED ROYALTY &amp; CREDIT OPPORTUNITIES III, LP</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as a Lender</w:t>
      </w:r>
    </w:p>
    <w:p>
      <w:pPr>
        <w:spacing w:after="0" w:line="234" w:lineRule="exact"/>
        <w:rPr>
          <w:sz w:val="20"/>
          <w:szCs w:val="20"/>
          <w:color w:val="auto"/>
        </w:rPr>
      </w:pPr>
    </w:p>
    <w:p>
      <w:pPr>
        <w:jc w:val="center"/>
        <w:ind w:right="1300"/>
        <w:spacing w:after="0"/>
        <w:rPr>
          <w:sz w:val="20"/>
          <w:szCs w:val="20"/>
          <w:color w:val="auto"/>
        </w:rPr>
      </w:pPr>
      <w:r>
        <w:rPr>
          <w:rFonts w:ascii="Times New Roman" w:cs="Times New Roman" w:eastAsia="Times New Roman" w:hAnsi="Times New Roman"/>
          <w:sz w:val="18"/>
          <w:szCs w:val="18"/>
          <w:color w:val="auto"/>
        </w:rPr>
        <w:t>By: OrbiMed ROF III LLC,</w:t>
      </w:r>
    </w:p>
    <w:p>
      <w:pPr>
        <w:spacing w:after="0" w:line="27"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By: OrbiMed Advisors, LLC,</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3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17145</wp:posOffset>
            </wp:positionV>
            <wp:extent cx="33515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Title: [***]</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Fourth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8" w:name="page79"/>
    <w:bookmarkEnd w:id="78"/>
    <w:p>
      <w:pPr>
        <w:jc w:val="both"/>
        <w:ind w:left="-8" w:firstLine="8"/>
        <w:spacing w:after="0" w:line="268" w:lineRule="auto"/>
        <w:tabs>
          <w:tab w:leader="none" w:pos="477"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00" w:lineRule="exact"/>
        <w:rPr>
          <w:sz w:val="20"/>
          <w:szCs w:val="20"/>
          <w:color w:val="auto"/>
        </w:rPr>
      </w:pPr>
    </w:p>
    <w:p>
      <w:pPr>
        <w:spacing w:after="0" w:line="295" w:lineRule="exact"/>
        <w:rPr>
          <w:sz w:val="20"/>
          <w:szCs w:val="20"/>
          <w:color w:val="auto"/>
        </w:rPr>
      </w:pPr>
    </w:p>
    <w:p>
      <w:pPr>
        <w:ind w:left="3952"/>
        <w:spacing w:after="0"/>
        <w:rPr>
          <w:sz w:val="20"/>
          <w:szCs w:val="20"/>
          <w:color w:val="auto"/>
        </w:rPr>
      </w:pPr>
      <w:r>
        <w:rPr>
          <w:rFonts w:ascii="Times New Roman" w:cs="Times New Roman" w:eastAsia="Times New Roman" w:hAnsi="Times New Roman"/>
          <w:sz w:val="18"/>
          <w:szCs w:val="18"/>
          <w:b w:val="1"/>
          <w:bCs w:val="1"/>
          <w:color w:val="auto"/>
        </w:rPr>
        <w:t>DEERFIELD PARTNERS, L.P.</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3952"/>
        <w:spacing w:after="0"/>
        <w:rPr>
          <w:sz w:val="20"/>
          <w:szCs w:val="20"/>
          <w:color w:val="auto"/>
        </w:rPr>
      </w:pPr>
      <w:r>
        <w:rPr>
          <w:rFonts w:ascii="Times New Roman" w:cs="Times New Roman" w:eastAsia="Times New Roman" w:hAnsi="Times New Roman"/>
          <w:sz w:val="18"/>
          <w:szCs w:val="18"/>
          <w:color w:val="auto"/>
        </w:rPr>
        <w:t>as a Lender</w:t>
      </w:r>
    </w:p>
    <w:p>
      <w:pPr>
        <w:spacing w:after="0" w:line="234" w:lineRule="exact"/>
        <w:rPr>
          <w:sz w:val="20"/>
          <w:szCs w:val="20"/>
          <w:color w:val="auto"/>
        </w:rPr>
      </w:pPr>
    </w:p>
    <w:p>
      <w:pPr>
        <w:ind w:left="3952"/>
        <w:spacing w:after="0"/>
        <w:rPr>
          <w:sz w:val="20"/>
          <w:szCs w:val="20"/>
          <w:color w:val="auto"/>
        </w:rPr>
      </w:pPr>
      <w:r>
        <w:rPr>
          <w:rFonts w:ascii="Times New Roman" w:cs="Times New Roman" w:eastAsia="Times New Roman" w:hAnsi="Times New Roman"/>
          <w:sz w:val="18"/>
          <w:szCs w:val="18"/>
          <w:color w:val="auto"/>
        </w:rPr>
        <w:t>By: Deerfield Mgmt, L.P.,</w:t>
      </w:r>
    </w:p>
    <w:p>
      <w:pPr>
        <w:spacing w:after="0" w:line="27" w:lineRule="exact"/>
        <w:rPr>
          <w:sz w:val="20"/>
          <w:szCs w:val="20"/>
          <w:color w:val="auto"/>
        </w:rPr>
      </w:pPr>
    </w:p>
    <w:p>
      <w:pPr>
        <w:ind w:left="4272"/>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4272"/>
        <w:spacing w:after="0"/>
        <w:rPr>
          <w:sz w:val="20"/>
          <w:szCs w:val="20"/>
          <w:color w:val="auto"/>
        </w:rPr>
      </w:pPr>
      <w:r>
        <w:rPr>
          <w:rFonts w:ascii="Times New Roman" w:cs="Times New Roman" w:eastAsia="Times New Roman" w:hAnsi="Times New Roman"/>
          <w:sz w:val="18"/>
          <w:szCs w:val="18"/>
          <w:color w:val="auto"/>
        </w:rPr>
        <w:t>By: J.E. Flynn capital, LLC,</w:t>
      </w:r>
    </w:p>
    <w:p>
      <w:pPr>
        <w:spacing w:after="0" w:line="27" w:lineRule="exact"/>
        <w:rPr>
          <w:sz w:val="20"/>
          <w:szCs w:val="20"/>
          <w:color w:val="auto"/>
        </w:rPr>
      </w:pPr>
    </w:p>
    <w:p>
      <w:pPr>
        <w:ind w:left="4612"/>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34" w:lineRule="exact"/>
        <w:rPr>
          <w:sz w:val="20"/>
          <w:szCs w:val="20"/>
          <w:color w:val="auto"/>
        </w:rPr>
      </w:pPr>
    </w:p>
    <w:p>
      <w:pPr>
        <w:ind w:left="3952"/>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17145</wp:posOffset>
            </wp:positionV>
            <wp:extent cx="33515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952"/>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3952"/>
        <w:spacing w:after="0"/>
        <w:rPr>
          <w:sz w:val="20"/>
          <w:szCs w:val="20"/>
          <w:color w:val="auto"/>
        </w:rPr>
      </w:pPr>
      <w:r>
        <w:rPr>
          <w:rFonts w:ascii="Times New Roman" w:cs="Times New Roman" w:eastAsia="Times New Roman" w:hAnsi="Times New Roman"/>
          <w:sz w:val="18"/>
          <w:szCs w:val="18"/>
          <w:color w:val="auto"/>
        </w:rPr>
        <w:t>Title: [***]</w:t>
      </w: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Signature Page to Fourth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225" w:right="339" w:bottom="1440" w:gutter="0" w:footer="0" w:header="0"/>
        </w:sectPr>
      </w:pPr>
    </w:p>
    <w:bookmarkStart w:id="79" w:name="page80"/>
    <w:bookmarkEnd w:id="79"/>
    <w:p>
      <w:pPr>
        <w:jc w:val="both"/>
        <w:ind w:left="-8" w:firstLine="8"/>
        <w:spacing w:after="0" w:line="268" w:lineRule="auto"/>
        <w:tabs>
          <w:tab w:leader="none" w:pos="477"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79" w:lineRule="exact"/>
        <w:rPr>
          <w:sz w:val="20"/>
          <w:szCs w:val="20"/>
          <w:color w:val="auto"/>
        </w:rPr>
      </w:pPr>
    </w:p>
    <w:p>
      <w:pPr>
        <w:ind w:left="3952"/>
        <w:spacing w:after="0"/>
        <w:rPr>
          <w:sz w:val="20"/>
          <w:szCs w:val="20"/>
          <w:color w:val="auto"/>
        </w:rPr>
      </w:pPr>
      <w:r>
        <w:rPr>
          <w:rFonts w:ascii="Times New Roman" w:cs="Times New Roman" w:eastAsia="Times New Roman" w:hAnsi="Times New Roman"/>
          <w:sz w:val="18"/>
          <w:szCs w:val="18"/>
          <w:b w:val="1"/>
          <w:bCs w:val="1"/>
          <w:color w:val="auto"/>
        </w:rPr>
        <w:t>WILMINGTON TRUST, NATIONAL ASSOCIATION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3952"/>
        <w:spacing w:after="0"/>
        <w:rPr>
          <w:sz w:val="20"/>
          <w:szCs w:val="20"/>
          <w:color w:val="auto"/>
        </w:rPr>
      </w:pPr>
      <w:r>
        <w:rPr>
          <w:rFonts w:ascii="Times New Roman" w:cs="Times New Roman" w:eastAsia="Times New Roman" w:hAnsi="Times New Roman"/>
          <w:sz w:val="18"/>
          <w:szCs w:val="18"/>
          <w:color w:val="auto"/>
        </w:rPr>
        <w:t>as the Administrative Agent</w:t>
      </w:r>
    </w:p>
    <w:p>
      <w:pPr>
        <w:spacing w:after="0" w:line="207" w:lineRule="exact"/>
        <w:rPr>
          <w:sz w:val="20"/>
          <w:szCs w:val="20"/>
          <w:color w:val="auto"/>
        </w:rPr>
      </w:pPr>
    </w:p>
    <w:p>
      <w:pPr>
        <w:ind w:left="3952"/>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17145</wp:posOffset>
            </wp:positionV>
            <wp:extent cx="33515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952"/>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3952"/>
        <w:spacing w:after="0"/>
        <w:rPr>
          <w:sz w:val="20"/>
          <w:szCs w:val="20"/>
          <w:color w:val="auto"/>
        </w:rPr>
      </w:pPr>
      <w:r>
        <w:rPr>
          <w:rFonts w:ascii="Times New Roman" w:cs="Times New Roman" w:eastAsia="Times New Roman" w:hAnsi="Times New Roman"/>
          <w:sz w:val="18"/>
          <w:szCs w:val="18"/>
          <w:color w:val="auto"/>
        </w:rPr>
        <w:t>Title: [***]</w:t>
      </w:r>
    </w:p>
    <w:p>
      <w:pPr>
        <w:spacing w:after="0" w:line="2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Signature Page to Fourth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22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Valneva SE 6-K</w:t>
      </w:r>
    </w:p>
    <w:p>
      <w:pPr>
        <w:spacing w:after="0" w:line="239"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54" w:lineRule="exact"/>
        <w:rPr>
          <w:sz w:val="20"/>
          <w:szCs w:val="20"/>
          <w:color w:val="auto"/>
        </w:rPr>
      </w:pPr>
    </w:p>
    <w:p>
      <w:pPr>
        <w:jc w:val="both"/>
        <w:ind w:firstLine="8"/>
        <w:spacing w:after="0" w:line="268" w:lineRule="auto"/>
        <w:tabs>
          <w:tab w:leader="none" w:pos="485"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1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AMENDMENT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FIFTH AMENDMENT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and entered into as of April 25, 2022 (the “</w:t>
      </w:r>
      <w:r>
        <w:rPr>
          <w:rFonts w:ascii="Times New Roman" w:cs="Times New Roman" w:eastAsia="Times New Roman" w:hAnsi="Times New Roman"/>
          <w:sz w:val="18"/>
          <w:szCs w:val="18"/>
          <w:u w:val="single" w:color="auto"/>
          <w:color w:val="auto"/>
        </w:rPr>
        <w:t>Fifth Amendment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by and among </w:t>
      </w:r>
      <w:r>
        <w:rPr>
          <w:rFonts w:ascii="Times New Roman" w:cs="Times New Roman" w:eastAsia="Times New Roman" w:hAnsi="Times New Roman"/>
          <w:sz w:val="18"/>
          <w:szCs w:val="18"/>
          <w:b w:val="1"/>
          <w:bCs w:val="1"/>
          <w:color w:val="auto"/>
        </w:rPr>
        <w:t>VALNEVA AUSTRIA GMBH</w:t>
      </w:r>
      <w:r>
        <w:rPr>
          <w:rFonts w:ascii="Times New Roman" w:cs="Times New Roman" w:eastAsia="Times New Roman" w:hAnsi="Times New Roman"/>
          <w:sz w:val="18"/>
          <w:szCs w:val="18"/>
          <w:color w:val="auto"/>
        </w:rPr>
        <w:t>, a company organized and existing under the laws of Austria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VALNEVA SE</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i w:val="1"/>
          <w:iCs w:val="1"/>
          <w:color w:val="auto"/>
        </w:rPr>
        <w:t xml:space="preserve">societas europaea </w:t>
      </w:r>
      <w:r>
        <w:rPr>
          <w:rFonts w:ascii="Times New Roman" w:cs="Times New Roman" w:eastAsia="Times New Roman" w:hAnsi="Times New Roman"/>
          <w:sz w:val="18"/>
          <w:szCs w:val="18"/>
          <w:color w:val="auto"/>
        </w:rPr>
        <w:t>organized and existing under the laws of the European Union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the Guarantors party hereto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the Lenders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WILMINGTON TRUST, NATIONAL ASSOCIATION</w:t>
      </w:r>
      <w:r>
        <w:rPr>
          <w:rFonts w:ascii="Times New Roman" w:cs="Times New Roman" w:eastAsia="Times New Roman" w:hAnsi="Times New Roman"/>
          <w:sz w:val="18"/>
          <w:szCs w:val="18"/>
          <w:color w:val="auto"/>
        </w:rPr>
        <w:t>, a national banking association organized and existing under the laws of the United States of America (together with its Affiliates, successors, transferees and assignees) as the administrative agent (the “</w:t>
      </w:r>
      <w:r>
        <w:rPr>
          <w:rFonts w:ascii="Times New Roman" w:cs="Times New Roman" w:eastAsia="Times New Roman" w:hAnsi="Times New Roman"/>
          <w:sz w:val="18"/>
          <w:szCs w:val="18"/>
          <w:u w:val="single" w:color="auto"/>
          <w:color w:val="auto"/>
        </w:rPr>
        <w:t>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Holdings, the Lenders and the Administrative Agent are party to that certain Credit Agreement, dated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3, 2020 (as amended by that Amendment and Waiver, dated as of June 24, 2020, as further amended by that Second Amendment, dated as of July 31, 2020, as further amended by that Third Amendment, dated as of January 15, 2021, as further modified by that Waiver, dated as of November 30, 2021, as further amended by that Fourth Amendment, dated as of January 3, 2022, and as may be further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pursuant to which the Lenders have agreed to extend credit to the Borrower on the terms set forth therein;</w:t>
      </w:r>
    </w:p>
    <w:p>
      <w:pPr>
        <w:spacing w:after="0" w:line="179"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has approached the Lenders in the United States and requested that the Lenders agree to provide a new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loan to the Borrower in an aggregate principal amount of $40,000,000 (with $20,000,000 available on the Fifth Amendment Effective Date and $20,000,000 available prior to the Fifth Delayed Draw Commitment Termination Date) and the Lenders have so agreed, in each case subject to the terms and conditions set forth in this Amendment and in the Credit Agreement;</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has requested that the Lenders agree to certain other amendments to the Credit Agreement and the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so agreed, subject to the terms and conditions of this Amendment.</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agreements herein contained, and for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parties hereto agree as follows:</w:t>
      </w:r>
    </w:p>
    <w:p>
      <w:pPr>
        <w:spacing w:after="0" w:line="155" w:lineRule="exact"/>
        <w:rPr>
          <w:sz w:val="20"/>
          <w:szCs w:val="20"/>
          <w:color w:val="auto"/>
        </w:rPr>
      </w:pPr>
    </w:p>
    <w:p>
      <w:pPr>
        <w:ind w:firstLine="1304"/>
        <w:spacing w:after="0" w:line="286" w:lineRule="auto"/>
        <w:tabs>
          <w:tab w:leader="none" w:pos="1966"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 Loan Document</w:t>
      </w:r>
      <w:r>
        <w:rPr>
          <w:rFonts w:ascii="Times New Roman" w:cs="Times New Roman" w:eastAsia="Times New Roman" w:hAnsi="Times New Roman"/>
          <w:sz w:val="18"/>
          <w:szCs w:val="18"/>
          <w:color w:val="auto"/>
        </w:rPr>
        <w:t>. Capitalized terms used herein without definition shall have the meanings assigned to such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Credit Agreement. This Amendment shall constitute a Loan Document for all purposes of the Credit Agreement and the other Loan Documents.</w:t>
      </w:r>
    </w:p>
    <w:p>
      <w:pPr>
        <w:spacing w:after="0" w:line="15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to the Credit Agreement</w:t>
      </w:r>
      <w:r>
        <w:rPr>
          <w:rFonts w:ascii="Times New Roman" w:cs="Times New Roman" w:eastAsia="Times New Roman" w:hAnsi="Times New Roman"/>
          <w:sz w:val="18"/>
          <w:szCs w:val="18"/>
          <w:color w:val="auto"/>
        </w:rPr>
        <w:t>. Effective as of the Fifth Amendment Effective Date, the Credit Agreement is hereby</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as follows:</w:t>
      </w:r>
    </w:p>
    <w:p>
      <w:pPr>
        <w:spacing w:after="0" w:line="206"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of the Credit Agreement is amended to add the following definitions in their respective alphabetical order:</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Fifth Amendment</w:t>
      </w:r>
      <w:r>
        <w:rPr>
          <w:rFonts w:ascii="Times New Roman" w:cs="Times New Roman" w:eastAsia="Times New Roman" w:hAnsi="Times New Roman"/>
          <w:sz w:val="18"/>
          <w:szCs w:val="18"/>
          <w:color w:val="auto"/>
        </w:rPr>
        <w:t>” means that Fifth Amendment, dated as of April 25, 2022, among the Borrower, Holdings, the Guarantors party thereto, the Lenders party thereto, and the Administrative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Fifth Amendment Effective Date</w:t>
      </w:r>
      <w:r>
        <w:rPr>
          <w:rFonts w:ascii="Times New Roman" w:cs="Times New Roman" w:eastAsia="Times New Roman" w:hAnsi="Times New Roman"/>
          <w:sz w:val="18"/>
          <w:szCs w:val="18"/>
          <w:color w:val="auto"/>
        </w:rPr>
        <w:t>” shall have the meaning set forth in the Fifth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81" w:name="page82"/>
    <w:bookmarkEnd w:id="81"/>
    <w:p>
      <w:pPr>
        <w:jc w:val="both"/>
        <w:ind w:firstLine="8"/>
        <w:spacing w:after="0" w:line="268" w:lineRule="auto"/>
        <w:tabs>
          <w:tab w:leader="none" w:pos="485"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Fourth Delayed Draw Commitment Amount</w:t>
      </w:r>
      <w:r>
        <w:rPr>
          <w:rFonts w:ascii="Times New Roman" w:cs="Times New Roman" w:eastAsia="Times New Roman" w:hAnsi="Times New Roman"/>
          <w:sz w:val="18"/>
          <w:szCs w:val="18"/>
          <w:color w:val="auto"/>
        </w:rPr>
        <w:t xml:space="preserve">” as to each Lender, means its obligation to make a portion of the Fourth Delayed Draw Loan to the Borrower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 the principal amount set forth opposite such Lender’s name on </w:t>
      </w:r>
      <w:r>
        <w:rPr>
          <w:rFonts w:ascii="Times New Roman" w:cs="Times New Roman" w:eastAsia="Times New Roman" w:hAnsi="Times New Roman"/>
          <w:sz w:val="18"/>
          <w:szCs w:val="18"/>
          <w:u w:val="single" w:color="auto"/>
          <w:color w:val="auto"/>
        </w:rPr>
        <w:t>Schedule 2.1</w:t>
      </w:r>
      <w:r>
        <w:rPr>
          <w:rFonts w:ascii="Times New Roman" w:cs="Times New Roman" w:eastAsia="Times New Roman" w:hAnsi="Times New Roman"/>
          <w:sz w:val="18"/>
          <w:szCs w:val="18"/>
          <w:color w:val="auto"/>
        </w:rPr>
        <w:t>. The aggregate principal amount of the Fourth Delayed Draw Commitment Amount of all of the Lenders as in effect on the Fifth Amendment Effective Date is $20,000,000.</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Fourth Delayed Draw Commitment Termination Date</w:t>
      </w:r>
      <w:r>
        <w:rPr>
          <w:rFonts w:ascii="Times New Roman" w:cs="Times New Roman" w:eastAsia="Times New Roman" w:hAnsi="Times New Roman"/>
          <w:sz w:val="18"/>
          <w:szCs w:val="18"/>
          <w:color w:val="auto"/>
        </w:rPr>
        <w:t>” means the Fourth Delayed Draw Funding Date (immediately after the making of the Fourth Delayed Draw Loan on such date).</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Fourth Delayed Draw Funding Date</w:t>
      </w:r>
      <w:r>
        <w:rPr>
          <w:rFonts w:ascii="Times New Roman" w:cs="Times New Roman" w:eastAsia="Times New Roman" w:hAnsi="Times New Roman"/>
          <w:sz w:val="18"/>
          <w:szCs w:val="18"/>
          <w:color w:val="auto"/>
        </w:rPr>
        <w:t>” means the date of the making of the Fourth Delayed Draw Loan hereunder, which in no event shall be later than the Fifth Amendment Effective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Fourth Delayed Draw Loan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Fifth Delayed Draw Commitment Amount</w:t>
      </w:r>
      <w:r>
        <w:rPr>
          <w:rFonts w:ascii="Times New Roman" w:cs="Times New Roman" w:eastAsia="Times New Roman" w:hAnsi="Times New Roman"/>
          <w:sz w:val="18"/>
          <w:szCs w:val="18"/>
          <w:color w:val="auto"/>
        </w:rPr>
        <w:t xml:space="preserve">” as to each Lender, means its obligation to make a portion of the Fifth Delayed Draw Loan to the Borrower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 the principal amount set forth opposite such Lender’s name on </w:t>
      </w:r>
      <w:r>
        <w:rPr>
          <w:rFonts w:ascii="Times New Roman" w:cs="Times New Roman" w:eastAsia="Times New Roman" w:hAnsi="Times New Roman"/>
          <w:sz w:val="18"/>
          <w:szCs w:val="18"/>
          <w:u w:val="single" w:color="auto"/>
          <w:color w:val="auto"/>
        </w:rPr>
        <w:t>Schedule 2.1</w:t>
      </w:r>
      <w:r>
        <w:rPr>
          <w:rFonts w:ascii="Times New Roman" w:cs="Times New Roman" w:eastAsia="Times New Roman" w:hAnsi="Times New Roman"/>
          <w:sz w:val="18"/>
          <w:szCs w:val="18"/>
          <w:color w:val="auto"/>
        </w:rPr>
        <w:t>. The aggregate principal amount of the Fifth Delayed Draw Commitment Amount of all of the Lenders as in effect on the Fifth Amendment Effective Date is $20,000,000.</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Fifth Delayed Draw Commitment Termination Date</w:t>
      </w:r>
      <w:r>
        <w:rPr>
          <w:rFonts w:ascii="Times New Roman" w:cs="Times New Roman" w:eastAsia="Times New Roman" w:hAnsi="Times New Roman"/>
          <w:sz w:val="18"/>
          <w:szCs w:val="18"/>
          <w:color w:val="auto"/>
        </w:rPr>
        <w:t>” means the earlier to occur of (a) the Fifth Delayed Draw Funding Date (immediately after the making of the Fifth Delayed Draw Loan on such date), and (b) September 30, 2022, if the Fifth Delayed Draw Loan shall not have been made hereunder prior to such date.</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Fifth Delayed Draw Funding Date</w:t>
      </w:r>
      <w:r>
        <w:rPr>
          <w:rFonts w:ascii="Times New Roman" w:cs="Times New Roman" w:eastAsia="Times New Roman" w:hAnsi="Times New Roman"/>
          <w:sz w:val="18"/>
          <w:szCs w:val="18"/>
          <w:color w:val="auto"/>
        </w:rPr>
        <w:t>” means the date of the making of the Fifth Delayed Draw Loan hereunder, which in no event shall be later than September 30, 2022.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Fifth Delayed Draw Loan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704"/>
        <w:spacing w:after="0"/>
        <w:tabs>
          <w:tab w:leader="none" w:pos="13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of the Credit Agreement is amended to amend and restate the following definitions in their entirety: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Draw Commitment Amount</w:t>
      </w:r>
      <w:r>
        <w:rPr>
          <w:rFonts w:ascii="Times New Roman" w:cs="Times New Roman" w:eastAsia="Times New Roman" w:hAnsi="Times New Roman"/>
          <w:sz w:val="18"/>
          <w:szCs w:val="18"/>
          <w:color w:val="auto"/>
        </w:rPr>
        <w:t>” means each of the First Delayed Draw Commitment Amount, the Second Delayed Draw Commitment Amount, the Third Delayed Draw Commitment Amount, the Fourth Delayed Draw Commitment Amount and the Fifth Delayed Draw Commitment Amount.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Draw Commitment Termination Date</w:t>
      </w:r>
      <w:r>
        <w:rPr>
          <w:rFonts w:ascii="Times New Roman" w:cs="Times New Roman" w:eastAsia="Times New Roman" w:hAnsi="Times New Roman"/>
          <w:sz w:val="18"/>
          <w:szCs w:val="18"/>
          <w:color w:val="auto"/>
        </w:rPr>
        <w:t>” means each of the First Delayed Draw Commitment Termination Date, the Second Delayed Draw Commitment Termination Date, the Third Delayed Draw Commitment Termination Date, the Fourth Delayed Draw Commitment Termination Date and the Fifth Delayed Draw Commitment Termination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Draw Funding Date</w:t>
      </w:r>
      <w:r>
        <w:rPr>
          <w:rFonts w:ascii="Times New Roman" w:cs="Times New Roman" w:eastAsia="Times New Roman" w:hAnsi="Times New Roman"/>
          <w:sz w:val="18"/>
          <w:szCs w:val="18"/>
          <w:color w:val="auto"/>
        </w:rPr>
        <w:t>” means each of the First Delayed Draw Funding Date, the Second Delayed Draw Funding Date, the Third Delayed Draw Funding Date, the Fourth Delayed Draw Funding Date and the Fifth Delayed Draw Funding Date.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Draw Loan</w:t>
      </w:r>
      <w:r>
        <w:rPr>
          <w:rFonts w:ascii="Times New Roman" w:cs="Times New Roman" w:eastAsia="Times New Roman" w:hAnsi="Times New Roman"/>
          <w:sz w:val="18"/>
          <w:szCs w:val="18"/>
          <w:color w:val="auto"/>
        </w:rPr>
        <w:t>” means each of the First Delayed Draw Loan, the Second Delayed Draw Loan, the Third Delayed Draw Loan, the Fourth Delayed Draw Loan and the Fifth Delayed Draw Loan.</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2" w:name="page83"/>
    <w:bookmarkEnd w:id="82"/>
    <w:p>
      <w:pPr>
        <w:jc w:val="both"/>
        <w:ind w:left="-8" w:firstLine="8"/>
        <w:spacing w:after="0" w:line="268" w:lineRule="auto"/>
        <w:tabs>
          <w:tab w:leader="none" w:pos="477"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83"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March 3, 2027.</w:t>
      </w:r>
    </w:p>
    <w:p>
      <w:pPr>
        <w:spacing w:after="0" w:line="2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Repayment Premium</w:t>
      </w:r>
      <w:r>
        <w:rPr>
          <w:rFonts w:ascii="Times New Roman" w:cs="Times New Roman" w:eastAsia="Times New Roman" w:hAnsi="Times New Roman"/>
          <w:sz w:val="18"/>
          <w:szCs w:val="18"/>
          <w:color w:val="auto"/>
        </w:rPr>
        <w:t>” means a premium equal to:</w:t>
      </w:r>
    </w:p>
    <w:p>
      <w:pPr>
        <w:spacing w:after="0" w:line="225" w:lineRule="exact"/>
        <w:rPr>
          <w:sz w:val="20"/>
          <w:szCs w:val="20"/>
          <w:color w:val="auto"/>
        </w:rPr>
      </w:pPr>
    </w:p>
    <w:p>
      <w:pPr>
        <w:jc w:val="both"/>
        <w:ind w:left="652" w:firstLine="644"/>
        <w:spacing w:after="0" w:line="254" w:lineRule="auto"/>
        <w:tabs>
          <w:tab w:leader="none" w:pos="2058"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prepayment or repayment is made or required to be made with respect to any Loan on or prior to December 31, 2023, a “Make-Whole Amount” in respect of the principal amount of any prepayment or repayment of the applicable Loan, determined (without duplication) by the Required Lenders, equal to the sum of (x) five percent (5.00%) of the principal amount to be repaid or prepaid and (y) the amount of all interest which would otherwise have accrued hereunder for the period from the date of such repayment or prepayment (or the date on which such repayment or prepayment was required to be made, if earlier) to December 31, 2023;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prepayment or repayment made pursuant to this clause (a) is in connection with a transaction that results in a Change in Control at a time when no Default or Event of Default has occurred or is continuing, the Repayment Premium shall be 9.95% of the principal amount of such prepayment or repayment of the applicable Loan;</w:t>
      </w:r>
    </w:p>
    <w:p>
      <w:pPr>
        <w:spacing w:after="0" w:line="191" w:lineRule="exact"/>
        <w:rPr>
          <w:rFonts w:ascii="Times New Roman" w:cs="Times New Roman" w:eastAsia="Times New Roman" w:hAnsi="Times New Roman"/>
          <w:sz w:val="18"/>
          <w:szCs w:val="18"/>
          <w:color w:val="auto"/>
        </w:rPr>
      </w:pPr>
    </w:p>
    <w:p>
      <w:pPr>
        <w:jc w:val="both"/>
        <w:ind w:left="652" w:firstLine="644"/>
        <w:spacing w:after="0" w:line="266" w:lineRule="auto"/>
        <w:tabs>
          <w:tab w:leader="none" w:pos="211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percent (5.00%) of the principal amount of any prepayment or repayment of the applicable Loan, if such prepayment or repayment is not made or required to be made prior to, and is made or required to be made on or after January 1, 2024, but on or prior to December 31, 2024;</w:t>
      </w:r>
    </w:p>
    <w:p>
      <w:pPr>
        <w:spacing w:after="0" w:line="175" w:lineRule="exact"/>
        <w:rPr>
          <w:rFonts w:ascii="Times New Roman" w:cs="Times New Roman" w:eastAsia="Times New Roman" w:hAnsi="Times New Roman"/>
          <w:sz w:val="18"/>
          <w:szCs w:val="18"/>
          <w:color w:val="auto"/>
        </w:rPr>
      </w:pPr>
    </w:p>
    <w:p>
      <w:pPr>
        <w:jc w:val="both"/>
        <w:ind w:left="652" w:firstLine="644"/>
        <w:spacing w:after="0" w:line="266" w:lineRule="auto"/>
        <w:tabs>
          <w:tab w:leader="none" w:pos="2107"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percent (3.00%) of the principal amount of any prepayment or repayment of the applicable Loan, if such prepayment or repayment is not made or required to be made prior to, and is made or required to be made on or after January 1, 2025, but on or prior to December 31, 2025; or</w:t>
      </w:r>
    </w:p>
    <w:p>
      <w:pPr>
        <w:spacing w:after="0" w:line="175" w:lineRule="exact"/>
        <w:rPr>
          <w:rFonts w:ascii="Times New Roman" w:cs="Times New Roman" w:eastAsia="Times New Roman" w:hAnsi="Times New Roman"/>
          <w:sz w:val="18"/>
          <w:szCs w:val="18"/>
          <w:color w:val="auto"/>
        </w:rPr>
      </w:pPr>
    </w:p>
    <w:p>
      <w:pPr>
        <w:jc w:val="both"/>
        <w:ind w:left="652" w:firstLine="644"/>
        <w:spacing w:after="0" w:line="266" w:lineRule="auto"/>
        <w:tabs>
          <w:tab w:leader="none" w:pos="2118"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(1.00%) of the principal amount of any prepayment or repayment of the applicable Loan, if such prepayment or repayment is not made or required to be made on or prior to, and is made or required to be made on or after January 1, 2026, but prior to the Maturity Date.”</w:t>
      </w:r>
    </w:p>
    <w:p>
      <w:pPr>
        <w:spacing w:after="0" w:line="175" w:lineRule="exact"/>
        <w:rPr>
          <w:rFonts w:ascii="Times New Roman" w:cs="Times New Roman" w:eastAsia="Times New Roman" w:hAnsi="Times New Roman"/>
          <w:sz w:val="18"/>
          <w:szCs w:val="18"/>
          <w:color w:val="auto"/>
        </w:rPr>
      </w:pPr>
    </w:p>
    <w:p>
      <w:pPr>
        <w:ind w:left="1352" w:hanging="704"/>
        <w:spacing w:after="0"/>
        <w:tabs>
          <w:tab w:leader="none" w:pos="135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 of the Credit Agreement is amended and restated in its entirety as follows:</w:t>
      </w:r>
    </w:p>
    <w:p>
      <w:pPr>
        <w:spacing w:after="0" w:line="225" w:lineRule="exact"/>
        <w:rPr>
          <w:sz w:val="20"/>
          <w:szCs w:val="20"/>
          <w:color w:val="auto"/>
        </w:rPr>
      </w:pPr>
    </w:p>
    <w:p>
      <w:pPr>
        <w:jc w:val="both"/>
        <w:ind w:left="652"/>
        <w:spacing w:after="0" w:line="25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On the terms and subject to the conditions of this Agreement, each Lender severally agrees to make its portion of a term loan (the “</w:t>
      </w:r>
      <w:r>
        <w:rPr>
          <w:rFonts w:ascii="Times New Roman" w:cs="Times New Roman" w:eastAsia="Times New Roman" w:hAnsi="Times New Roman"/>
          <w:sz w:val="18"/>
          <w:szCs w:val="18"/>
          <w:u w:val="single" w:color="auto"/>
          <w:color w:val="auto"/>
        </w:rPr>
        <w:t>Initial Loan</w:t>
      </w:r>
      <w:r>
        <w:rPr>
          <w:rFonts w:ascii="Times New Roman" w:cs="Times New Roman" w:eastAsia="Times New Roman" w:hAnsi="Times New Roman"/>
          <w:sz w:val="18"/>
          <w:szCs w:val="18"/>
          <w:color w:val="auto"/>
        </w:rPr>
        <w:t>”) on the Funding Date in an amount equal to (but not less than) such Lender’s Initial Commitment Amount. On the terms and subject to the conditions of this Agreement, each Lender severally agrees to make its portion of a term loan (the “</w:t>
      </w:r>
      <w:r>
        <w:rPr>
          <w:rFonts w:ascii="Times New Roman" w:cs="Times New Roman" w:eastAsia="Times New Roman" w:hAnsi="Times New Roman"/>
          <w:sz w:val="18"/>
          <w:szCs w:val="18"/>
          <w:u w:val="single" w:color="auto"/>
          <w:color w:val="auto"/>
        </w:rPr>
        <w:t>First Delayed Draw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on the First Delayed Draw Funding Date in an amount equal to (but not less than) such Lender’s First Delayed Draw Commitment Amount. On the terms and subject to the conditions of this Agreement, each Lender severally agrees to make its portion of a term loan (the “</w:t>
      </w:r>
      <w:r>
        <w:rPr>
          <w:rFonts w:ascii="Times New Roman" w:cs="Times New Roman" w:eastAsia="Times New Roman" w:hAnsi="Times New Roman"/>
          <w:sz w:val="18"/>
          <w:szCs w:val="18"/>
          <w:u w:val="single" w:color="auto"/>
          <w:color w:val="auto"/>
        </w:rPr>
        <w:t>Second Delayed Draw Loan</w:t>
      </w:r>
      <w:r>
        <w:rPr>
          <w:rFonts w:ascii="Times New Roman" w:cs="Times New Roman" w:eastAsia="Times New Roman" w:hAnsi="Times New Roman"/>
          <w:sz w:val="18"/>
          <w:szCs w:val="18"/>
          <w:color w:val="auto"/>
        </w:rPr>
        <w:t>”) on the Second Delayed Draw Funding Date in an amount equal to (but not less than) such Lender’s Second Delayed Draw Commitment Amount. On the terms and subject to the conditions of this Agreement, each Lender severally agrees to make its portion of a term loan (the “</w:t>
      </w:r>
      <w:r>
        <w:rPr>
          <w:rFonts w:ascii="Times New Roman" w:cs="Times New Roman" w:eastAsia="Times New Roman" w:hAnsi="Times New Roman"/>
          <w:sz w:val="18"/>
          <w:szCs w:val="18"/>
          <w:u w:val="single" w:color="auto"/>
          <w:color w:val="auto"/>
        </w:rPr>
        <w:t>Third Delayed Draw Loan</w:t>
      </w:r>
      <w:r>
        <w:rPr>
          <w:rFonts w:ascii="Times New Roman" w:cs="Times New Roman" w:eastAsia="Times New Roman" w:hAnsi="Times New Roman"/>
          <w:sz w:val="18"/>
          <w:szCs w:val="18"/>
          <w:color w:val="auto"/>
        </w:rPr>
        <w:t>”) on the Third Delayed Draw Funding Date in an amount equal to (but not less than) such Lender’s Third Delayed Draw Commitment Amount. Subject to the occurrence of the Fifth Amendment Effective Date, and on the terms and subject to the conditions of this Agreement, each Lender severally agrees to make its portion of a term loan (the “</w:t>
      </w:r>
      <w:r>
        <w:rPr>
          <w:rFonts w:ascii="Times New Roman" w:cs="Times New Roman" w:eastAsia="Times New Roman" w:hAnsi="Times New Roman"/>
          <w:sz w:val="18"/>
          <w:szCs w:val="18"/>
          <w:u w:val="single" w:color="auto"/>
          <w:color w:val="auto"/>
        </w:rPr>
        <w:t>Fourth Delayed Draw Loan</w:t>
      </w:r>
      <w:r>
        <w:rPr>
          <w:rFonts w:ascii="Times New Roman" w:cs="Times New Roman" w:eastAsia="Times New Roman" w:hAnsi="Times New Roman"/>
          <w:sz w:val="18"/>
          <w:szCs w:val="18"/>
          <w:color w:val="auto"/>
        </w:rPr>
        <w:t>”) on the Fifth Amendment Effective Date in an amount equal to (but not less than) such Lender’s Fourth Delayed Draw Commitment Amount. Subject to the occurrence of the Fifth Amendment Effective Date, and on the terms and subject to the conditions of this Agreement, each Lender severally agrees to make its portion of a term loan (the “</w:t>
      </w:r>
      <w:r>
        <w:rPr>
          <w:rFonts w:ascii="Times New Roman" w:cs="Times New Roman" w:eastAsia="Times New Roman" w:hAnsi="Times New Roman"/>
          <w:sz w:val="18"/>
          <w:szCs w:val="18"/>
          <w:u w:val="single" w:color="auto"/>
          <w:color w:val="auto"/>
        </w:rPr>
        <w:t>Fifth Delayed Draw Loan</w:t>
      </w:r>
      <w:r>
        <w:rPr>
          <w:rFonts w:ascii="Times New Roman" w:cs="Times New Roman" w:eastAsia="Times New Roman" w:hAnsi="Times New Roman"/>
          <w:sz w:val="18"/>
          <w:szCs w:val="18"/>
          <w:color w:val="auto"/>
        </w:rPr>
        <w:t>”) on the Fifth Delayed Draw Funding Date in an amount equal to (but not less than) such Lender’s Fifth Delayed Draw Commitment Amount. No amounts paid or prepaid with respect to the Loans may be reborrowed.”</w:t>
      </w:r>
    </w:p>
    <w:p>
      <w:pPr>
        <w:spacing w:after="0" w:line="305"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225" w:right="339" w:bottom="1440" w:gutter="0" w:footer="0" w:header="0"/>
        </w:sectPr>
      </w:pPr>
    </w:p>
    <w:bookmarkStart w:id="83" w:name="page84"/>
    <w:bookmarkEnd w:id="83"/>
    <w:p>
      <w:pPr>
        <w:jc w:val="both"/>
        <w:ind w:left="-8" w:firstLine="8"/>
        <w:spacing w:after="0" w:line="268" w:lineRule="auto"/>
        <w:tabs>
          <w:tab w:leader="none" w:pos="477"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83" w:lineRule="exact"/>
        <w:rPr>
          <w:sz w:val="20"/>
          <w:szCs w:val="20"/>
          <w:color w:val="auto"/>
        </w:rPr>
      </w:pPr>
    </w:p>
    <w:p>
      <w:pPr>
        <w:ind w:left="1352" w:hanging="704"/>
        <w:spacing w:after="0"/>
        <w:tabs>
          <w:tab w:leader="none" w:pos="135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2.2 of the Credit Agreement is amended and restated in its entirety as follows:</w:t>
      </w:r>
    </w:p>
    <w:p>
      <w:pPr>
        <w:spacing w:after="0" w:line="225" w:lineRule="exact"/>
        <w:rPr>
          <w:sz w:val="20"/>
          <w:szCs w:val="20"/>
          <w:color w:val="auto"/>
        </w:rPr>
      </w:pPr>
    </w:p>
    <w:p>
      <w:pPr>
        <w:jc w:val="both"/>
        <w:ind w:left="652"/>
        <w:spacing w:after="0" w:line="253"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Borrowing Procedure</w:t>
      </w:r>
      <w:r>
        <w:rPr>
          <w:rFonts w:ascii="Times New Roman" w:cs="Times New Roman" w:eastAsia="Times New Roman" w:hAnsi="Times New Roman"/>
          <w:sz w:val="18"/>
          <w:szCs w:val="18"/>
          <w:color w:val="auto"/>
        </w:rPr>
        <w:t>. The Borrower may request that the Initial Loan be made by delivering to the Administrative Agent an irrevocable Loan Request on or before 10:00 a.m. on a Business Day at least three Business Days prior to the proposed Funding Date (or such later date as all Lenders and the Administrative Agent may agree in their discretion). The Borrower may request that the Fourth Delayed Draw Loan be made by delivering to the Administrative Agent an irrevocable Loan Request on or before 10:00 a.m. on a Business Day at least three Business Days prior to the proposed Fifth Amendment Effective Date (or such later date as all Lenders and the Administrative Agent may agree in their discretion). The Borrower shall request that the First Delayed Draw Loan be made by delivering to the Administrative Agent an irrevocable Loan Request on or before 10:00 a.m. on a Business Day at least fifteen Business Days prior to the proposed First Delayed Draw Funding Date (or such later date as all Lenders and the Administrative Agent may agree in their discretion), and may request that the Second Delayed Draw Loan, the Third Delayed Draw Loan or the Fifth Delayed Draw Loan be made by delivering to the Administrative Agent an irrevocable Loan Request on or before 10:00 a.m. on a Business Day at least fifteen Business Days prior to the proposed applicable Delayed Draw Funding Date (or such later date as all Lenders and the Administrative Agent may agree in their discretion). A Loan Request must request disbursement to a bank account of the Borrower outside Austria.”</w:t>
      </w:r>
    </w:p>
    <w:p>
      <w:pPr>
        <w:spacing w:after="0" w:line="190" w:lineRule="exact"/>
        <w:rPr>
          <w:sz w:val="20"/>
          <w:szCs w:val="20"/>
          <w:color w:val="auto"/>
        </w:rPr>
      </w:pPr>
    </w:p>
    <w:p>
      <w:pPr>
        <w:ind w:left="1352" w:hanging="704"/>
        <w:spacing w:after="0"/>
        <w:tabs>
          <w:tab w:leader="none" w:pos="135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3.2 of the Credit Agreement is amended by amending and restating clause (b) in its entirety as follows:</w:t>
      </w:r>
    </w:p>
    <w:p>
      <w:pPr>
        <w:spacing w:after="0" w:line="225"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“Commencing on July 1, 2024, and on the first Business Day of each Fiscal Quarter thereafter, the Borrower shall make a scheduled principal payment equal to 8.33% of the unpaid principal amount of the Loans outstanding on July 1, 2024 (for the avoidance of doubt, prior to giving effect to such scheduled principal payment).”</w:t>
      </w:r>
    </w:p>
    <w:p>
      <w:pPr>
        <w:spacing w:after="0" w:line="176" w:lineRule="exact"/>
        <w:rPr>
          <w:sz w:val="20"/>
          <w:szCs w:val="20"/>
          <w:color w:val="auto"/>
        </w:rPr>
      </w:pPr>
    </w:p>
    <w:p>
      <w:pPr>
        <w:ind w:left="1312" w:hanging="664"/>
        <w:spacing w:after="0"/>
        <w:tabs>
          <w:tab w:leader="none" w:pos="131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V of the Credit Agreement is amended by adding a new Section 5.19 as follows:</w:t>
      </w:r>
    </w:p>
    <w:p>
      <w:pPr>
        <w:spacing w:after="0" w:line="225" w:lineRule="exact"/>
        <w:rPr>
          <w:sz w:val="20"/>
          <w:szCs w:val="20"/>
          <w:color w:val="auto"/>
        </w:rPr>
      </w:pPr>
    </w:p>
    <w:p>
      <w:pPr>
        <w:jc w:val="both"/>
        <w:ind w:left="652"/>
        <w:spacing w:after="0" w:line="261" w:lineRule="auto"/>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Fifth Delayed Draw Loan</w:t>
      </w:r>
      <w:r>
        <w:rPr>
          <w:rFonts w:ascii="Times New Roman" w:cs="Times New Roman" w:eastAsia="Times New Roman" w:hAnsi="Times New Roman"/>
          <w:sz w:val="18"/>
          <w:szCs w:val="18"/>
          <w:color w:val="auto"/>
        </w:rPr>
        <w:t>. With respect to the Fifth Delayed Draw Funding Date, the Administrative Agent and each Lender shall have received evidence reasonably satisfactory to the Administrative Agent and such Lenders that the Borrower’s inactivated COVID-19 vaccine candidate, VLA2001, shall have received conditional approval from the European Medicines Agency for primary immunization in adults 18-55 years of age.”</w:t>
      </w:r>
    </w:p>
    <w:p>
      <w:pPr>
        <w:spacing w:after="0" w:line="180" w:lineRule="exact"/>
        <w:rPr>
          <w:sz w:val="20"/>
          <w:szCs w:val="20"/>
          <w:color w:val="auto"/>
        </w:rPr>
      </w:pPr>
    </w:p>
    <w:p>
      <w:pPr>
        <w:ind w:left="1312" w:hanging="664"/>
        <w:spacing w:after="0"/>
        <w:tabs>
          <w:tab w:leader="none" w:pos="131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7.13 of the Credit Agreement is amended by replacing clause (iv) in its entirety as follows:</w:t>
      </w:r>
    </w:p>
    <w:p>
      <w:pPr>
        <w:spacing w:after="0" w:line="225" w:lineRule="exact"/>
        <w:rPr>
          <w:sz w:val="20"/>
          <w:szCs w:val="20"/>
          <w:color w:val="auto"/>
        </w:rPr>
      </w:pPr>
    </w:p>
    <w:p>
      <w:pPr>
        <w:jc w:val="both"/>
        <w:ind w:left="652"/>
        <w:spacing w:after="0" w:line="261" w:lineRule="auto"/>
        <w:rPr>
          <w:sz w:val="20"/>
          <w:szCs w:val="20"/>
          <w:color w:val="auto"/>
        </w:rPr>
      </w:pPr>
      <w:r>
        <w:rPr>
          <w:rFonts w:ascii="Times New Roman" w:cs="Times New Roman" w:eastAsia="Times New Roman" w:hAnsi="Times New Roman"/>
          <w:sz w:val="18"/>
          <w:szCs w:val="18"/>
          <w:color w:val="auto"/>
        </w:rPr>
        <w:t>“(iv) any other accounts the aggregate balance held on deposit in all such accounts at any time shall not exceed €5,000,000 (collectively, the “</w:t>
      </w:r>
      <w:r>
        <w:rPr>
          <w:rFonts w:ascii="Times New Roman" w:cs="Times New Roman" w:eastAsia="Times New Roman" w:hAnsi="Times New Roman"/>
          <w:sz w:val="18"/>
          <w:szCs w:val="18"/>
          <w:u w:val="single" w:color="auto"/>
          <w:color w:val="auto"/>
        </w:rPr>
        <w:t>Excluded Accounts</w:t>
      </w:r>
      <w:r>
        <w:rPr>
          <w:rFonts w:ascii="Times New Roman" w:cs="Times New Roman" w:eastAsia="Times New Roman" w:hAnsi="Times New Roman"/>
          <w:sz w:val="18"/>
          <w:szCs w:val="18"/>
          <w:color w:val="auto"/>
        </w:rPr>
        <w:t>”)) to become Controlled Accounts, and thereafter maintain each such Controlled Account as a cash collateral account (which may be an interest-bearing account), with all cash, checks and other similar items of payment in such account securing payment of the Obligations (and in which Holdings, the Borrower and the other Loan Parties shall have granted a Lien to the Secured Parties).”</w:t>
      </w:r>
    </w:p>
    <w:p>
      <w:pPr>
        <w:spacing w:after="0" w:line="288"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225" w:right="339" w:bottom="1440" w:gutter="0" w:footer="0" w:header="0"/>
        </w:sectPr>
      </w:pPr>
    </w:p>
    <w:bookmarkStart w:id="84" w:name="page85"/>
    <w:bookmarkEnd w:id="84"/>
    <w:p>
      <w:pPr>
        <w:jc w:val="both"/>
        <w:ind w:left="-8" w:firstLine="8"/>
        <w:spacing w:after="0" w:line="268" w:lineRule="auto"/>
        <w:tabs>
          <w:tab w:leader="none" w:pos="477"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83" w:lineRule="exact"/>
        <w:rPr>
          <w:sz w:val="20"/>
          <w:szCs w:val="20"/>
          <w:color w:val="auto"/>
        </w:rPr>
      </w:pPr>
    </w:p>
    <w:p>
      <w:pPr>
        <w:ind w:left="1352" w:hanging="704"/>
        <w:spacing w:after="0"/>
        <w:tabs>
          <w:tab w:leader="none" w:pos="135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8.2(e) of the Credit Agreement is amended and restated in its entirety as follows:</w:t>
      </w:r>
    </w:p>
    <w:p>
      <w:pPr>
        <w:spacing w:after="0" w:line="225" w:lineRule="exact"/>
        <w:rPr>
          <w:sz w:val="20"/>
          <w:szCs w:val="20"/>
          <w:color w:val="auto"/>
        </w:rPr>
      </w:pPr>
    </w:p>
    <w:p>
      <w:pPr>
        <w:ind w:left="652"/>
        <w:spacing w:after="0" w:line="282" w:lineRule="auto"/>
        <w:rPr>
          <w:sz w:val="20"/>
          <w:szCs w:val="20"/>
          <w:color w:val="auto"/>
        </w:rPr>
      </w:pPr>
      <w:r>
        <w:rPr>
          <w:rFonts w:ascii="Times New Roman" w:cs="Times New Roman" w:eastAsia="Times New Roman" w:hAnsi="Times New Roman"/>
          <w:sz w:val="18"/>
          <w:szCs w:val="18"/>
          <w:color w:val="auto"/>
        </w:rPr>
        <w:t>“(e) Purchase Money Indebtedness and Capitalized Lease Liabilities incurred after the Closing Date in a principal amount not to exceed €10,000,000 in the aggregate outstanding at any time;”</w:t>
      </w:r>
    </w:p>
    <w:p>
      <w:pPr>
        <w:spacing w:after="0" w:line="162" w:lineRule="exact"/>
        <w:rPr>
          <w:sz w:val="20"/>
          <w:szCs w:val="20"/>
          <w:color w:val="auto"/>
        </w:rPr>
      </w:pPr>
    </w:p>
    <w:p>
      <w:pPr>
        <w:ind w:left="1312" w:hanging="664"/>
        <w:spacing w:after="0"/>
        <w:tabs>
          <w:tab w:leader="none" w:pos="131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8.2(i) of the Credit Agreement is amended and restated in its entirety as follows:</w:t>
      </w:r>
    </w:p>
    <w:p>
      <w:pPr>
        <w:spacing w:after="0" w:line="225" w:lineRule="exact"/>
        <w:rPr>
          <w:sz w:val="20"/>
          <w:szCs w:val="20"/>
          <w:color w:val="auto"/>
        </w:rPr>
      </w:pPr>
    </w:p>
    <w:p>
      <w:pPr>
        <w:jc w:val="both"/>
        <w:ind w:left="652"/>
        <w:spacing w:after="0" w:line="256" w:lineRule="auto"/>
        <w:rPr>
          <w:sz w:val="20"/>
          <w:szCs w:val="20"/>
          <w:color w:val="auto"/>
        </w:rPr>
      </w:pPr>
      <w:r>
        <w:rPr>
          <w:rFonts w:ascii="Times New Roman" w:cs="Times New Roman" w:eastAsia="Times New Roman" w:hAnsi="Times New Roman"/>
          <w:sz w:val="18"/>
          <w:szCs w:val="18"/>
          <w:color w:val="auto"/>
        </w:rPr>
        <w:t xml:space="preserve">“(i) Indebtedness of (i) any Loan Party owing to a Subsidiary that is not a Guarantor;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of such Indebtedness shall be subordinated to the Obligations pursuant to an intercompany debt subordination agreement in substantially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hereto (or any other form approved by the Required Lenders), (ii) any Subsidiaries that are not Guarantors owing to the Borrower or any Guarantor in an aggregate principal amount at any time outstanding not to exceed, when combined with outstanding Investments by any Loan Party in or to any Subsidiary that is not a Guarantor pursuant to </w:t>
      </w:r>
      <w:r>
        <w:rPr>
          <w:rFonts w:ascii="Times New Roman" w:cs="Times New Roman" w:eastAsia="Times New Roman" w:hAnsi="Times New Roman"/>
          <w:sz w:val="18"/>
          <w:szCs w:val="18"/>
          <w:u w:val="single" w:color="auto"/>
          <w:color w:val="auto"/>
        </w:rPr>
        <w:t>Section 8.5(h)(i)</w:t>
      </w:r>
      <w:r>
        <w:rPr>
          <w:rFonts w:ascii="Times New Roman" w:cs="Times New Roman" w:eastAsia="Times New Roman" w:hAnsi="Times New Roman"/>
          <w:sz w:val="18"/>
          <w:szCs w:val="18"/>
          <w:color w:val="auto"/>
        </w:rPr>
        <w:t xml:space="preserve"> and any Disposition by any Loan Party to any Subsidiary that is not a Guarantor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8.8(o)</w:t>
      </w:r>
      <w:r>
        <w:rPr>
          <w:rFonts w:ascii="Times New Roman" w:cs="Times New Roman" w:eastAsia="Times New Roman" w:hAnsi="Times New Roman"/>
          <w:sz w:val="18"/>
          <w:szCs w:val="18"/>
          <w:color w:val="auto"/>
        </w:rPr>
        <w:t>, €5,000,000, and (iii) any Subsidiaries that are not Guarantors owing to any other Subsidiary that is not a Guarantor;”</w:t>
      </w:r>
    </w:p>
    <w:p>
      <w:pPr>
        <w:spacing w:after="0" w:line="187" w:lineRule="exact"/>
        <w:rPr>
          <w:sz w:val="20"/>
          <w:szCs w:val="20"/>
          <w:color w:val="auto"/>
        </w:rPr>
      </w:pPr>
    </w:p>
    <w:p>
      <w:pPr>
        <w:ind w:left="1312" w:hanging="664"/>
        <w:spacing w:after="0"/>
        <w:tabs>
          <w:tab w:leader="none" w:pos="131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8.4(a) of the Credit Agreement is amended and restated in its entirety as follows:</w:t>
      </w:r>
    </w:p>
    <w:p>
      <w:pPr>
        <w:spacing w:after="0" w:line="223" w:lineRule="exact"/>
        <w:rPr>
          <w:sz w:val="20"/>
          <w:szCs w:val="20"/>
          <w:color w:val="auto"/>
        </w:rPr>
      </w:pPr>
    </w:p>
    <w:p>
      <w:pPr>
        <w:ind w:left="652" w:right="20"/>
        <w:spacing w:after="0" w:line="28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Liquidity</w:t>
      </w:r>
      <w:r>
        <w:rPr>
          <w:rFonts w:ascii="Times New Roman" w:cs="Times New Roman" w:eastAsia="Times New Roman" w:hAnsi="Times New Roman"/>
          <w:sz w:val="18"/>
          <w:szCs w:val="18"/>
          <w:color w:val="auto"/>
        </w:rPr>
        <w:t>. The Liquidity of Holdings, the Borrower and the Subsidiaries, on a consolidated basis, shall not at any time be less than €35,000,000.”</w:t>
      </w:r>
    </w:p>
    <w:p>
      <w:pPr>
        <w:spacing w:after="0" w:line="160" w:lineRule="exact"/>
        <w:rPr>
          <w:sz w:val="20"/>
          <w:szCs w:val="20"/>
          <w:color w:val="auto"/>
        </w:rPr>
      </w:pPr>
    </w:p>
    <w:p>
      <w:pPr>
        <w:ind w:left="1312" w:hanging="664"/>
        <w:spacing w:after="0"/>
        <w:tabs>
          <w:tab w:leader="none" w:pos="131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8.5(h) is amended and restated in its entirety as follows:</w:t>
      </w:r>
    </w:p>
    <w:p>
      <w:pPr>
        <w:spacing w:after="0" w:line="225" w:lineRule="exact"/>
        <w:rPr>
          <w:sz w:val="20"/>
          <w:szCs w:val="20"/>
          <w:color w:val="auto"/>
        </w:rPr>
      </w:pPr>
    </w:p>
    <w:p>
      <w:pPr>
        <w:jc w:val="both"/>
        <w:ind w:left="652"/>
        <w:spacing w:after="0" w:line="258" w:lineRule="auto"/>
        <w:rPr>
          <w:sz w:val="20"/>
          <w:szCs w:val="20"/>
          <w:color w:val="auto"/>
        </w:rPr>
      </w:pPr>
      <w:r>
        <w:rPr>
          <w:rFonts w:ascii="Times New Roman" w:cs="Times New Roman" w:eastAsia="Times New Roman" w:hAnsi="Times New Roman"/>
          <w:sz w:val="18"/>
          <w:szCs w:val="18"/>
          <w:color w:val="auto"/>
        </w:rPr>
        <w:t>“(h) Investments (i) by Holdings, the Borrower or any Guarantor in or to any Subsidiary that is not a Guarantor, in an aggregate amount at any time outstanding not to exceed, when combined with any outstanding Indebtedness of any Subsidiary that is not a Guarantor owing to the Borrower or any Guarantor pursuant to Section 8.2(i)(ii) and any Disposition by any Loan Party to any Subsidiary that is not a Guarantor pursuant to Section 8.8(o), €5,000,000, (ii) by any Subsidiary that is not a Loan Party in or to any other Subsidiary that is not a Loan Party and (iii) by any Subsidiary that is not a Loan Party in or to Holdings, the Borrower or any Guarantor;</w:t>
      </w:r>
    </w:p>
    <w:p>
      <w:pPr>
        <w:spacing w:after="0" w:line="183" w:lineRule="exact"/>
        <w:rPr>
          <w:sz w:val="20"/>
          <w:szCs w:val="20"/>
          <w:color w:val="auto"/>
        </w:rPr>
      </w:pPr>
    </w:p>
    <w:p>
      <w:pPr>
        <w:ind w:left="1312" w:hanging="664"/>
        <w:spacing w:after="0"/>
        <w:tabs>
          <w:tab w:leader="none" w:pos="131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8.8(o) of the Credit Agreement is amended and restated in its entirety as follows:</w:t>
      </w:r>
    </w:p>
    <w:p>
      <w:pPr>
        <w:spacing w:after="0" w:line="225" w:lineRule="exact"/>
        <w:rPr>
          <w:sz w:val="20"/>
          <w:szCs w:val="20"/>
          <w:color w:val="auto"/>
        </w:rPr>
      </w:pPr>
    </w:p>
    <w:p>
      <w:pPr>
        <w:jc w:val="both"/>
        <w:ind w:left="652" w:hanging="4"/>
        <w:spacing w:after="0" w:line="255" w:lineRule="auto"/>
        <w:tabs>
          <w:tab w:leader="none" w:pos="91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from any Loan Party to any Subsidiary that is not a Loan Party in an aggregate amount over the term of this Agreement not to exceed, when combined with any outstanding Indebtedness of any Subsidiary that is not a Guarantor owing to the Borrower or any Guarantor pursuant to Section 8.2(i)(ii) and any outstanding Investments by any Loan Party in or to any Subsidiary that is not a Guarantor pursuant to Section 8.5(h)(i), €5,000,000, provided that no sale or other transfer of any Intellectual Property that is material to the business of any Loan Party shall be permitted pursuant to this clause (o); provided further that Holdings, the Borrower and the Subsidiaries may not consummate any Disposition of any assets necessary to satisfy in all material respects the obligations of Holdings, the Borrower and the Subsidiaries under any Key Contract (other than any Disposition permitted pursuant to clause (m)).</w:t>
      </w:r>
    </w:p>
    <w:p>
      <w:pPr>
        <w:spacing w:after="0" w:line="29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225" w:right="339" w:bottom="1440" w:gutter="0" w:footer="0" w:header="0"/>
        </w:sectPr>
      </w:pPr>
    </w:p>
    <w:bookmarkStart w:id="85" w:name="page86"/>
    <w:bookmarkEnd w:id="85"/>
    <w:p>
      <w:pPr>
        <w:jc w:val="both"/>
        <w:ind w:left="-8" w:firstLine="8"/>
        <w:spacing w:after="0" w:line="268" w:lineRule="auto"/>
        <w:tabs>
          <w:tab w:leader="none" w:pos="477"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82" w:lineRule="exact"/>
        <w:rPr>
          <w:rFonts w:ascii="Times New Roman" w:cs="Times New Roman" w:eastAsia="Times New Roman" w:hAnsi="Times New Roman"/>
          <w:sz w:val="18"/>
          <w:szCs w:val="18"/>
          <w:b w:val="1"/>
          <w:bCs w:val="1"/>
          <w:color w:val="auto"/>
        </w:rPr>
      </w:pPr>
    </w:p>
    <w:p>
      <w:pPr>
        <w:ind w:left="1352" w:hanging="704"/>
        <w:spacing w:after="0"/>
        <w:tabs>
          <w:tab w:leader="none" w:pos="1352"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A to the Credit Agreement shall be replaced with the Form of Promissory Note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225" w:lineRule="exact"/>
        <w:rPr>
          <w:rFonts w:ascii="Times New Roman" w:cs="Times New Roman" w:eastAsia="Times New Roman" w:hAnsi="Times New Roman"/>
          <w:sz w:val="18"/>
          <w:szCs w:val="18"/>
          <w:color w:val="auto"/>
        </w:rPr>
      </w:pPr>
    </w:p>
    <w:p>
      <w:pPr>
        <w:ind w:left="1352" w:hanging="704"/>
        <w:spacing w:after="0"/>
        <w:tabs>
          <w:tab w:leader="none" w:pos="1352"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B to the Credit Agreement shall be replaced with the Form of Loan Request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225" w:lineRule="exact"/>
        <w:rPr>
          <w:rFonts w:ascii="Times New Roman" w:cs="Times New Roman" w:eastAsia="Times New Roman" w:hAnsi="Times New Roman"/>
          <w:sz w:val="18"/>
          <w:szCs w:val="18"/>
          <w:color w:val="auto"/>
        </w:rPr>
      </w:pPr>
    </w:p>
    <w:p>
      <w:pPr>
        <w:ind w:left="1352" w:hanging="704"/>
        <w:spacing w:after="0"/>
        <w:tabs>
          <w:tab w:leader="none" w:pos="1352"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Schedule 2.1 to the Credit Agreement shall be replaced with the Schedule 2.1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w:t>
      </w:r>
    </w:p>
    <w:p>
      <w:pPr>
        <w:spacing w:after="0" w:line="225" w:lineRule="exact"/>
        <w:rPr>
          <w:rFonts w:ascii="Times New Roman" w:cs="Times New Roman" w:eastAsia="Times New Roman" w:hAnsi="Times New Roman"/>
          <w:sz w:val="18"/>
          <w:szCs w:val="18"/>
          <w:color w:val="auto"/>
        </w:rPr>
      </w:pPr>
    </w:p>
    <w:p>
      <w:pPr>
        <w:ind w:left="1352" w:hanging="704"/>
        <w:spacing w:after="0"/>
        <w:tabs>
          <w:tab w:leader="none" w:pos="1352"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Schedule 8.2(c) shall be replaced with the Schedule 8.2(c) set forth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w:t>
      </w:r>
    </w:p>
    <w:p>
      <w:pPr>
        <w:spacing w:after="0" w:line="221" w:lineRule="exact"/>
        <w:rPr>
          <w:rFonts w:ascii="Times New Roman" w:cs="Times New Roman" w:eastAsia="Times New Roman" w:hAnsi="Times New Roman"/>
          <w:sz w:val="18"/>
          <w:szCs w:val="18"/>
          <w:color w:val="auto"/>
        </w:rPr>
      </w:pPr>
    </w:p>
    <w:p>
      <w:pPr>
        <w:ind w:left="-8" w:firstLine="1304"/>
        <w:spacing w:after="0" w:line="286" w:lineRule="auto"/>
        <w:tabs>
          <w:tab w:leader="none" w:pos="1972"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Conditions to Effectiveness of Amendment</w:t>
      </w:r>
      <w:r>
        <w:rPr>
          <w:rFonts w:ascii="Times New Roman" w:cs="Times New Roman" w:eastAsia="Times New Roman" w:hAnsi="Times New Roman"/>
          <w:sz w:val="18"/>
          <w:szCs w:val="18"/>
          <w:color w:val="auto"/>
        </w:rPr>
        <w:t>. This Amendment shall become effective on the Fifth Amendment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satisfaction of the following conditions:</w:t>
      </w:r>
    </w:p>
    <w:p>
      <w:pPr>
        <w:spacing w:after="0" w:line="159" w:lineRule="exact"/>
        <w:rPr>
          <w:sz w:val="20"/>
          <w:szCs w:val="20"/>
          <w:color w:val="auto"/>
        </w:rPr>
      </w:pPr>
    </w:p>
    <w:p>
      <w:pPr>
        <w:ind w:left="-8" w:right="20" w:firstLine="656"/>
        <w:spacing w:after="0" w:line="282" w:lineRule="auto"/>
        <w:tabs>
          <w:tab w:leader="none" w:pos="147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counterpart signature to this Amendment duly executed and delivered by each Loan Party, the Lenders and the Administrative Agent.</w:t>
      </w:r>
    </w:p>
    <w:p>
      <w:pPr>
        <w:spacing w:after="0" w:line="161" w:lineRule="exact"/>
        <w:rPr>
          <w:rFonts w:ascii="Times New Roman" w:cs="Times New Roman" w:eastAsia="Times New Roman" w:hAnsi="Times New Roman"/>
          <w:sz w:val="18"/>
          <w:szCs w:val="18"/>
          <w:color w:val="auto"/>
        </w:rPr>
      </w:pPr>
    </w:p>
    <w:p>
      <w:pPr>
        <w:jc w:val="both"/>
        <w:ind w:left="-8" w:firstLine="656"/>
        <w:spacing w:after="0" w:line="256" w:lineRule="auto"/>
        <w:tabs>
          <w:tab w:leader="none" w:pos="134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each Lender shall have received with respect to Holdings, the Borrower and each other Loan Party, a copy of a good standing certificate, certificate of registration or similar certificate from the applicable Governmental Authority of each Loan Party’s jurisdiction of incorporation, formation or organization to the extent that such certificate is obtainable in such jurisdiction, dated a date reasonably close to the Fifth Amendment Effective Date, for each such Person (or, as regards Holdings (i) an original copy of an extrait K-bis not more than 30 days old), (ii) a copy (certified by its authorized representative) of its updated by-laws (</w:t>
      </w:r>
      <w:r>
        <w:rPr>
          <w:rFonts w:ascii="Times New Roman" w:cs="Times New Roman" w:eastAsia="Times New Roman" w:hAnsi="Times New Roman"/>
          <w:sz w:val="18"/>
          <w:szCs w:val="18"/>
          <w:i w:val="1"/>
          <w:iCs w:val="1"/>
          <w:color w:val="auto"/>
        </w:rPr>
        <w:t>statuts</w:t>
      </w:r>
      <w:r>
        <w:rPr>
          <w:rFonts w:ascii="Times New Roman" w:cs="Times New Roman" w:eastAsia="Times New Roman" w:hAnsi="Times New Roman"/>
          <w:sz w:val="18"/>
          <w:szCs w:val="18"/>
          <w:color w:val="auto"/>
        </w:rPr>
        <w:t xml:space="preserve">), and (iii) an original copy of its </w:t>
      </w:r>
      <w:r>
        <w:rPr>
          <w:rFonts w:ascii="Times New Roman" w:cs="Times New Roman" w:eastAsia="Times New Roman" w:hAnsi="Times New Roman"/>
          <w:sz w:val="18"/>
          <w:szCs w:val="18"/>
          <w:i w:val="1"/>
          <w:iCs w:val="1"/>
          <w:color w:val="auto"/>
        </w:rPr>
        <w:t>état des inscriptions et privilèges</w:t>
      </w:r>
      <w:r>
        <w:rPr>
          <w:rFonts w:ascii="Times New Roman" w:cs="Times New Roman" w:eastAsia="Times New Roman" w:hAnsi="Times New Roman"/>
          <w:sz w:val="18"/>
          <w:szCs w:val="18"/>
          <w:color w:val="auto"/>
        </w:rPr>
        <w:t xml:space="preserve"> not more than 30 days old and an original copy of its non-bankruptcy certificate (</w:t>
      </w:r>
      <w:r>
        <w:rPr>
          <w:rFonts w:ascii="Times New Roman" w:cs="Times New Roman" w:eastAsia="Times New Roman" w:hAnsi="Times New Roman"/>
          <w:sz w:val="18"/>
          <w:szCs w:val="18"/>
          <w:i w:val="1"/>
          <w:iCs w:val="1"/>
          <w:color w:val="auto"/>
        </w:rPr>
        <w:t>certificat de recherches négatives</w:t>
      </w:r>
      <w:r>
        <w:rPr>
          <w:rFonts w:ascii="Times New Roman" w:cs="Times New Roman" w:eastAsia="Times New Roman" w:hAnsi="Times New Roman"/>
          <w:sz w:val="18"/>
          <w:szCs w:val="18"/>
          <w:color w:val="auto"/>
        </w:rPr>
        <w:t>) not more than 30 days old).</w:t>
      </w:r>
    </w:p>
    <w:p>
      <w:pPr>
        <w:spacing w:after="0" w:line="187" w:lineRule="exact"/>
        <w:rPr>
          <w:rFonts w:ascii="Times New Roman" w:cs="Times New Roman" w:eastAsia="Times New Roman" w:hAnsi="Times New Roman"/>
          <w:sz w:val="18"/>
          <w:szCs w:val="18"/>
          <w:color w:val="auto"/>
        </w:rPr>
      </w:pPr>
    </w:p>
    <w:p>
      <w:pPr>
        <w:jc w:val="both"/>
        <w:ind w:left="-8" w:firstLine="656"/>
        <w:spacing w:after="0" w:line="256" w:lineRule="auto"/>
        <w:tabs>
          <w:tab w:leader="none" w:pos="147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each Lender shall have received with respect to Holdings, the Borrower and each other Loan Party, a customary secretary’s certificate (and other certificates and documents substantially consistent with those delivered under Section 5.2 of the Credit Agreement, and including, with respect to the Borrower, an up-to-date extract from the Austrian companies’ register (</w:t>
      </w:r>
      <w:r>
        <w:rPr>
          <w:rFonts w:ascii="Times New Roman" w:cs="Times New Roman" w:eastAsia="Times New Roman" w:hAnsi="Times New Roman"/>
          <w:sz w:val="18"/>
          <w:szCs w:val="18"/>
          <w:i w:val="1"/>
          <w:iCs w:val="1"/>
          <w:color w:val="auto"/>
        </w:rPr>
        <w:t>Firmenbuchauszug</w:t>
      </w:r>
      <w:r>
        <w:rPr>
          <w:rFonts w:ascii="Times New Roman" w:cs="Times New Roman" w:eastAsia="Times New Roman" w:hAnsi="Times New Roman"/>
          <w:sz w:val="18"/>
          <w:szCs w:val="18"/>
          <w:color w:val="auto"/>
        </w:rPr>
        <w:t>) of the Borrower), dated as of the Fifth Amendment Effective Date and duly executed and delivered by an Authorized Officer of the Borrower, as to the matters referred to in Section 5.2 of the Credit Agreement (provided that for purposes of this clause (b), references to the Closing Date in Section 5.2 of the Credit Agreement shall be deemed to refer to the Fifth Amendment Effective Date).</w:t>
      </w:r>
    </w:p>
    <w:p>
      <w:pPr>
        <w:spacing w:after="0" w:line="187" w:lineRule="exact"/>
        <w:rPr>
          <w:rFonts w:ascii="Times New Roman" w:cs="Times New Roman" w:eastAsia="Times New Roman" w:hAnsi="Times New Roman"/>
          <w:sz w:val="18"/>
          <w:szCs w:val="18"/>
          <w:color w:val="auto"/>
        </w:rPr>
      </w:pPr>
    </w:p>
    <w:p>
      <w:pPr>
        <w:ind w:left="-8" w:firstLine="656"/>
        <w:spacing w:after="0" w:line="282" w:lineRule="auto"/>
        <w:tabs>
          <w:tab w:leader="none" w:pos="137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each Lender shall have received an Officer’s Certificate, dated as of the Fifth Amendment Effective Date and duly executed and delivered by an Authorized Officer of the Borrower, as to the matters set forth in Section 5.3 of the Credit Agreement.</w:t>
      </w:r>
    </w:p>
    <w:p>
      <w:pPr>
        <w:spacing w:after="0" w:line="161" w:lineRule="exact"/>
        <w:rPr>
          <w:rFonts w:ascii="Times New Roman" w:cs="Times New Roman" w:eastAsia="Times New Roman" w:hAnsi="Times New Roman"/>
          <w:sz w:val="18"/>
          <w:szCs w:val="18"/>
          <w:color w:val="auto"/>
        </w:rPr>
      </w:pPr>
    </w:p>
    <w:p>
      <w:pPr>
        <w:ind w:left="-8" w:right="20" w:firstLine="656"/>
        <w:spacing w:after="0" w:line="282" w:lineRule="auto"/>
        <w:tabs>
          <w:tab w:leader="none" w:pos="144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have received a Note substantially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duly executed and delivered by an Authorized Officer of the Borrower.</w:t>
      </w:r>
    </w:p>
    <w:p>
      <w:pPr>
        <w:spacing w:after="0" w:line="161"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14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each Lender shall have received a solvency certificate, dated as of the Fifth Amendment Effective Date and duly executed and delivered by the chief financial or accounting Authorized Officer of the Borrower, as to the matters set forth in Section 5.8 of the Credit Agreement.</w:t>
      </w:r>
    </w:p>
    <w:p>
      <w:pPr>
        <w:spacing w:after="0" w:line="284"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225" w:right="339" w:bottom="1440" w:gutter="0" w:footer="0" w:header="0"/>
        </w:sectPr>
      </w:pPr>
    </w:p>
    <w:bookmarkStart w:id="86" w:name="page87"/>
    <w:bookmarkEnd w:id="86"/>
    <w:p>
      <w:pPr>
        <w:jc w:val="both"/>
        <w:ind w:firstLine="8"/>
        <w:spacing w:after="0" w:line="268" w:lineRule="auto"/>
        <w:tabs>
          <w:tab w:leader="none" w:pos="485"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82"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1472"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each Lender shall have received customary legal opinions, dated as of the Fifth Amendment Effective Date and addressed to the Secured Parties, in each case in form and substance acceptable to the Secured Parties in their reasonable discretion, from (i) Dechert LLP, US counsel to Holdings, the Borrower and the Subsidiaries, with respect to New York, Delaware and federal law; (ii) DORDA Rechtsanwälte GmbH, Austrian counsel to the Administrative Agent and the Lenders, with respect to Austrian law matters; (iii) bpv Hügel Rechtsanwälte GmbH, Austrian counsel to the Borrower, with respect to customary capacity matters for the Borrower; (iv) Lette &amp; Associés S.E.N.C.R.L., Canadian counsel to the Borrower, with respect to Quebec law matters; (v) Lette LLP, Canadian counsel to the Borrower, with respect to Ontario law matters; (v) Bryan Cave Leighton Paisner, French local counsel to the Administrative Agent and the Lenders, with respect to French law matters; (vi) Hogan Lovells (Paris) LLP, French local counsel to Holdings, with respect to customary capacity matters for Holdings; (vii) Covington &amp; Burling LLP, English counsel to the Administrative Agent and the Lenders, with respect to English law matters; (viii) Burness Paull, Scots counsel to the Administrative Agent and the Lenders, with respect to Scottish law matters; and (ix) Cirio Advokatbyrå AB, Swedish counsel to the Administrative Agent and the Lenders, with respect to Swedish law matters.</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533"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have received for its own account (i) the Upfront Fee due and payable pursuant to Section 3.11(b) of the Credit Agreement in respect of the Fourth Delayed Draw Loan. Each Lender and the Administrative Agent shall have received for its own account reimbursement of all costs and expenses due and payable pursuant to Section 4 of this Amendment (to the extent invoiced at least two Business Days prior to the Fifth Amendment Effective Date).</w:t>
      </w:r>
    </w:p>
    <w:p>
      <w:pPr>
        <w:spacing w:after="0" w:line="179"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have received for its own account an amendment fee of $5,000, due and payable on the Fifth Amendment</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Effective Date.</w:t>
      </w:r>
    </w:p>
    <w:p>
      <w:pPr>
        <w:spacing w:after="0" w:line="206" w:lineRule="exact"/>
        <w:rPr>
          <w:rFonts w:ascii="Times New Roman" w:cs="Times New Roman" w:eastAsia="Times New Roman" w:hAnsi="Times New Roman"/>
          <w:sz w:val="17"/>
          <w:szCs w:val="17"/>
          <w:color w:val="auto"/>
        </w:rPr>
      </w:pPr>
    </w:p>
    <w:p>
      <w:pPr>
        <w:ind w:firstLine="656"/>
        <w:spacing w:after="0" w:line="282" w:lineRule="auto"/>
        <w:tabs>
          <w:tab w:leader="none" w:pos="1473"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the Lenders shall have received, as of the Fifth Amendment Effective Date, the updates to Schedules required under Section 5.17 of the Credit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1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and the Lenders shall have received, at least 1 Business Day prior to the Fifth Amendment Effective Date, a form of Loan Request with respect to the Fourth Delayed Draw Loan,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1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the Lenders shall have received counterpart signatures to the deed of confirmation dated as of the Fifth Amendment Effective Date, duly executed by Holdings, Valneva UK Limited and the Administrative Agent.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the Lenders shall have received:</w:t>
      </w:r>
    </w:p>
    <w:p>
      <w:pPr>
        <w:spacing w:after="0" w:line="225" w:lineRule="exact"/>
        <w:rPr>
          <w:rFonts w:ascii="Times New Roman" w:cs="Times New Roman" w:eastAsia="Times New Roman" w:hAnsi="Times New Roman"/>
          <w:sz w:val="18"/>
          <w:szCs w:val="18"/>
          <w:color w:val="auto"/>
        </w:rPr>
      </w:pPr>
    </w:p>
    <w:p>
      <w:pPr>
        <w:ind w:left="1300" w:right="80" w:firstLine="4"/>
        <w:spacing w:after="0" w:line="282" w:lineRule="auto"/>
        <w:tabs>
          <w:tab w:leader="none" w:pos="201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French law governed second-ranking pledge over shares to be granted by Holdings in favor of the Administrative Agent with respect to the Capital Securities of Valneva France;</w:t>
      </w:r>
    </w:p>
    <w:p>
      <w:pPr>
        <w:spacing w:after="0" w:line="161" w:lineRule="exact"/>
        <w:rPr>
          <w:rFonts w:ascii="Times New Roman" w:cs="Times New Roman" w:eastAsia="Times New Roman" w:hAnsi="Times New Roman"/>
          <w:sz w:val="18"/>
          <w:szCs w:val="18"/>
          <w:color w:val="auto"/>
        </w:rPr>
      </w:pPr>
    </w:p>
    <w:p>
      <w:pPr>
        <w:ind w:left="1300" w:right="360" w:firstLine="4"/>
        <w:spacing w:after="0" w:line="282" w:lineRule="auto"/>
        <w:tabs>
          <w:tab w:leader="none" w:pos="2015"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French law governed second-ranking pledge over bank accounts to be granted by Holdings in favor of the Administrative Agent with respect to the bank accounts of Holdings (other than any Excluded Account) located in France;</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7" w:name="page88"/>
    <w:bookmarkEnd w:id="87"/>
    <w:p>
      <w:pPr>
        <w:jc w:val="both"/>
        <w:ind w:firstLine="8"/>
        <w:spacing w:after="0" w:line="268" w:lineRule="auto"/>
        <w:tabs>
          <w:tab w:leader="none" w:pos="485"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80" w:lineRule="exact"/>
        <w:rPr>
          <w:rFonts w:ascii="Times New Roman" w:cs="Times New Roman" w:eastAsia="Times New Roman" w:hAnsi="Times New Roman"/>
          <w:sz w:val="18"/>
          <w:szCs w:val="18"/>
          <w:b w:val="1"/>
          <w:bCs w:val="1"/>
          <w:color w:val="auto"/>
        </w:rPr>
      </w:pPr>
    </w:p>
    <w:p>
      <w:pPr>
        <w:ind w:left="2020" w:hanging="716"/>
        <w:spacing w:after="0"/>
        <w:tabs>
          <w:tab w:leader="none" w:pos="2020"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French law governed second-ranking pledge over the </w:t>
      </w:r>
      <w:r>
        <w:rPr>
          <w:rFonts w:ascii="Times New Roman" w:cs="Times New Roman" w:eastAsia="Times New Roman" w:hAnsi="Times New Roman"/>
          <w:sz w:val="18"/>
          <w:szCs w:val="18"/>
          <w:i w:val="1"/>
          <w:iCs w:val="1"/>
          <w:color w:val="auto"/>
        </w:rPr>
        <w:t>fonds de commerce</w:t>
      </w:r>
      <w:r>
        <w:rPr>
          <w:rFonts w:ascii="Times New Roman" w:cs="Times New Roman" w:eastAsia="Times New Roman" w:hAnsi="Times New Roman"/>
          <w:sz w:val="18"/>
          <w:szCs w:val="18"/>
          <w:color w:val="auto"/>
        </w:rPr>
        <w:t xml:space="preserve"> to be granted by Holdings in favor of the</w:t>
      </w:r>
    </w:p>
    <w:p>
      <w:pPr>
        <w:spacing w:after="0" w:line="29" w:lineRule="exact"/>
        <w:rPr>
          <w:rFonts w:ascii="Times New Roman" w:cs="Times New Roman" w:eastAsia="Times New Roman" w:hAnsi="Times New Roman"/>
          <w:sz w:val="18"/>
          <w:szCs w:val="18"/>
          <w:color w:val="auto"/>
        </w:rPr>
      </w:pPr>
    </w:p>
    <w:p>
      <w:pPr>
        <w:ind w:left="1300"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which shall include the Trademarks and Patents of Holdings registered with INPI, EUIPO and WIPO and as listed therein to the extent constituting Collateral; and</w:t>
      </w:r>
    </w:p>
    <w:p>
      <w:pPr>
        <w:spacing w:after="0" w:line="181" w:lineRule="exact"/>
        <w:rPr>
          <w:rFonts w:ascii="Times New Roman" w:cs="Times New Roman" w:eastAsia="Times New Roman" w:hAnsi="Times New Roman"/>
          <w:sz w:val="18"/>
          <w:szCs w:val="18"/>
          <w:color w:val="auto"/>
        </w:rPr>
      </w:pPr>
    </w:p>
    <w:p>
      <w:pPr>
        <w:ind w:left="1300" w:right="200" w:firstLine="4"/>
        <w:spacing w:after="0" w:line="282" w:lineRule="auto"/>
        <w:tabs>
          <w:tab w:leader="none" w:pos="2010"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French law governed second-ranking pledge to be granted by Holdings in favor of the Administrative Agent with respect to the intercompany loans owing to Holdings by the Borrower, Valneva UK Limited and Valneva Canada and (if any) Valneva France.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54"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the Lenders shall have received a duly executed Austrian law governed security confirmation with respect to the Austrian Security Documents.</w:t>
      </w:r>
    </w:p>
    <w:p>
      <w:pPr>
        <w:spacing w:after="0" w:line="158" w:lineRule="exact"/>
        <w:rPr>
          <w:sz w:val="20"/>
          <w:szCs w:val="20"/>
          <w:color w:val="auto"/>
        </w:rPr>
      </w:pPr>
    </w:p>
    <w:p>
      <w:pPr>
        <w:jc w:val="both"/>
        <w:ind w:firstLine="1304"/>
        <w:spacing w:after="0" w:line="262" w:lineRule="auto"/>
        <w:tabs>
          <w:tab w:leader="none" w:pos="206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The Loan Parties shall pay all reasonable and documented out-of-pocket fees and expenses incurred by OrbiMed,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Deerfield and the Administrative Agent in connection with the preparation, negotiation, execution, delivery and administration of this Amendment and the other Loan Documents, including schedules and exhibits, or any amendments, supplements, modifications or waivers of the provisions hereof or thereof (whether or not the transactions contemplated hereby or thereby shall be consummated).</w:t>
      </w:r>
    </w:p>
    <w:p>
      <w:pPr>
        <w:spacing w:after="0" w:line="176" w:lineRule="exact"/>
        <w:rPr>
          <w:rFonts w:ascii="Times New Roman" w:cs="Times New Roman" w:eastAsia="Times New Roman" w:hAnsi="Times New Roman"/>
          <w:sz w:val="18"/>
          <w:szCs w:val="18"/>
          <w:color w:val="auto"/>
        </w:rPr>
      </w:pPr>
    </w:p>
    <w:p>
      <w:pPr>
        <w:ind w:firstLine="1304"/>
        <w:spacing w:after="0" w:line="286" w:lineRule="auto"/>
        <w:tabs>
          <w:tab w:leader="none" w:pos="20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 The Borrower represents and warrants to the Administrative Agent and each Lender,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effective date of this Amendment, as follows:</w:t>
      </w:r>
    </w:p>
    <w:p>
      <w:pPr>
        <w:spacing w:after="0" w:line="159" w:lineRule="exact"/>
        <w:rPr>
          <w:sz w:val="20"/>
          <w:szCs w:val="20"/>
          <w:color w:val="auto"/>
        </w:rPr>
      </w:pPr>
    </w:p>
    <w:p>
      <w:pPr>
        <w:jc w:val="both"/>
        <w:ind w:firstLine="1304"/>
        <w:spacing w:after="0" w:line="256" w:lineRule="auto"/>
        <w:tabs>
          <w:tab w:leader="none" w:pos="194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this Amendment, the representations and warranties of the Borrower and the other Loan Parties contained in the Credit Agreement or any other Loan Document are true and correct in all material respects (except with respect to any representations and warranties that are qualified by materiality or Material Adverse Effect, which representations and warranties are true and correct in all respects) as of the date hereof, except to the extent that such representations and warranties specifically relate to an earlier date, in which case, each is true and correct in all material respects (except with respect to any representations and warranties that are qualified by materiality or Material Adverse Effect, which representations and warranties are true and correct in all respects) as of such earlier date.</w:t>
      </w:r>
    </w:p>
    <w:p>
      <w:pPr>
        <w:spacing w:after="0" w:line="187"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Default or Event of Default under the Credit Agreement has occurred and is continuing or would result from the effectiveness</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 this Amendment.</w:t>
      </w:r>
    </w:p>
    <w:p>
      <w:pPr>
        <w:spacing w:after="0" w:line="203" w:lineRule="exact"/>
        <w:rPr>
          <w:sz w:val="20"/>
          <w:szCs w:val="20"/>
          <w:color w:val="auto"/>
        </w:rPr>
      </w:pPr>
    </w:p>
    <w:p>
      <w:pPr>
        <w:jc w:val="both"/>
        <w:ind w:firstLine="1304"/>
        <w:spacing w:after="0" w:line="256" w:lineRule="auto"/>
        <w:tabs>
          <w:tab w:leader="none" w:pos="225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Implied Amendment or Waiver</w:t>
      </w:r>
      <w:r>
        <w:rPr>
          <w:rFonts w:ascii="Times New Roman" w:cs="Times New Roman" w:eastAsia="Times New Roman" w:hAnsi="Times New Roman"/>
          <w:sz w:val="18"/>
          <w:szCs w:val="18"/>
          <w:color w:val="auto"/>
        </w:rPr>
        <w:t>. Except as expressly set forth in this Amendment, this Amendment shall not,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implication or otherwise, limit, impair, constitute a waiver of or otherwise affect any rights or remedies of the Administrative Agent or any Lender under the Credit Agreement or the other Loan Documents, or alter, modify, amend or in any way affect any of the terms, obligations or covenants contained in the Credit Agreement or the other Loan Documents, all of which shall continue in full force and effect. Nothing in this Amendment shall be construed to imply any willingness on the part of the Administrative Agent or any Lender to agree to or grant any similar or future amendment, consent or waiver of any of the terms and conditions of the Credit Agreement or the other Loan Documents. This Amendment is not intended by the parties hereto to be, and shall not be construed to be, a novation of the Credit Agreement or any other Loan Document or an accord and satisfaction with respect thereto.</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8" w:name="page89"/>
    <w:bookmarkEnd w:id="88"/>
    <w:p>
      <w:pPr>
        <w:jc w:val="both"/>
        <w:ind w:firstLine="8"/>
        <w:spacing w:after="0" w:line="268" w:lineRule="auto"/>
        <w:tabs>
          <w:tab w:leader="none" w:pos="485"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79" w:lineRule="exact"/>
        <w:rPr>
          <w:sz w:val="20"/>
          <w:szCs w:val="20"/>
          <w:color w:val="auto"/>
        </w:rPr>
      </w:pPr>
    </w:p>
    <w:p>
      <w:pPr>
        <w:ind w:left="1940" w:hanging="636"/>
        <w:spacing w:after="0"/>
        <w:tabs>
          <w:tab w:leader="none" w:pos="19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Reaffirmation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Guarantor hereby (i) irrevocably and unconditionally confirms in favor of the Administrative Agent and the Lenders that it consents to the terms and conditions of this Amendment; (ii) acknowledges and reaffirms its respective obligations applicable to it as set forth in the Loan Documents; (iii) agrees to continue to comply with, and be subject to, all of the terms, provisions, conditions, covenants, representations, warranties, agreements and obligations applicable to it set forth in the Loan Documents, which remain in full force and effect; (iv) confirms, ratifies and reaffirms that the relevant security interests, hypothecs and guarantees granted to the Secured Parties pursuant to the Loan Documents are and shall remain unimpaired, continue to be in effect and enforceable and with the same force, effect and priority in effect immediately prior to entering into this Amendment and shall continue to secure and/or guarantee the Obligations (except, in any case, as such enforceability may be limited by applicable bankruptcy, insolvency, reorganization or similar Laws affecting creditors’ rights generally and by principles of equity (including the Austrian IO, Canadian Insolvency Laws, the Civil Code of Québec and the French Code de commerce and Code civil)). In addition, each Guarantor hereby certifies, ratifies and reaffirms that the execution, delivery and effectiveness of this Amendment shall not operate as a waiver of any right, power or remedy of any Secured Party under the Credit Agreement or any other Loan Document, nor constitute a waiver of any provision of the Credit Agreement or any other Loan Document.</w:t>
      </w:r>
    </w:p>
    <w:p>
      <w:pPr>
        <w:spacing w:after="0" w:line="188" w:lineRule="exact"/>
        <w:rPr>
          <w:sz w:val="20"/>
          <w:szCs w:val="20"/>
          <w:color w:val="auto"/>
        </w:rPr>
      </w:pPr>
    </w:p>
    <w:p>
      <w:pPr>
        <w:jc w:val="both"/>
        <w:ind w:firstLine="1304"/>
        <w:spacing w:after="0" w:line="259" w:lineRule="auto"/>
        <w:tabs>
          <w:tab w:leader="none" w:pos="199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 and Release</w:t>
      </w:r>
      <w:r>
        <w:rPr>
          <w:rFonts w:ascii="Times New Roman" w:cs="Times New Roman" w:eastAsia="Times New Roman" w:hAnsi="Times New Roman"/>
          <w:sz w:val="18"/>
          <w:szCs w:val="18"/>
          <w:color w:val="auto"/>
        </w:rPr>
        <w:t>. TO INDUCE THE ADMINISTRATIVE AGENT AND THE LENDERS TO AGREE TO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AMENDMENT, BORROWER AND ITS AFFILIATES (COLLECTIVELY, THE “</w:t>
      </w:r>
      <w:r>
        <w:rPr>
          <w:rFonts w:ascii="Times New Roman" w:cs="Times New Roman" w:eastAsia="Times New Roman" w:hAnsi="Times New Roman"/>
          <w:sz w:val="18"/>
          <w:szCs w:val="18"/>
          <w:b w:val="1"/>
          <w:bCs w:val="1"/>
          <w:color w:val="auto"/>
        </w:rPr>
        <w:t>RELEASING PARTIES</w:t>
      </w:r>
      <w:r>
        <w:rPr>
          <w:rFonts w:ascii="Times New Roman" w:cs="Times New Roman" w:eastAsia="Times New Roman" w:hAnsi="Times New Roman"/>
          <w:sz w:val="18"/>
          <w:szCs w:val="18"/>
          <w:color w:val="auto"/>
        </w:rPr>
        <w:t>”) REPRESENT AND WARRANT THAT, AS OF THE DATE HEREOF, THERE ARE NO CLAIMS OR OFFSETS AGAINST, OR RIGHTS OF RECOUPMENT WITH RESPECT TO, OR DISPUTES OF, OR DEFENSES OR COUNTERCLAIMS TO, THEIR OBLIGATIONS UNDER THE LOAN DOCUMENTS, AND IN ACCORDANCE THEREWITH THEY:</w:t>
      </w:r>
    </w:p>
    <w:p>
      <w:pPr>
        <w:spacing w:after="0" w:line="183" w:lineRule="exact"/>
        <w:rPr>
          <w:sz w:val="20"/>
          <w:szCs w:val="20"/>
          <w:color w:val="auto"/>
        </w:rPr>
      </w:pPr>
    </w:p>
    <w:p>
      <w:pPr>
        <w:ind w:left="740" w:firstLine="564"/>
        <w:spacing w:after="0" w:line="282" w:lineRule="auto"/>
        <w:tabs>
          <w:tab w:leader="none" w:pos="233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AND ALL SUCH CLAIMS, OFFSETS, RIGHTS OF RECOUPMENT, DISPUTES, DEFENSES AND COUNTERCLAIMS, WHETHER KNOWN OR UNKNOWN, ARISING PRIOR TO THE DATE HEREOF; AND</w:t>
      </w:r>
    </w:p>
    <w:p>
      <w:pPr>
        <w:spacing w:after="0" w:line="161" w:lineRule="exact"/>
        <w:rPr>
          <w:rFonts w:ascii="Times New Roman" w:cs="Times New Roman" w:eastAsia="Times New Roman" w:hAnsi="Times New Roman"/>
          <w:sz w:val="18"/>
          <w:szCs w:val="18"/>
          <w:color w:val="auto"/>
        </w:rPr>
      </w:pPr>
    </w:p>
    <w:p>
      <w:pPr>
        <w:jc w:val="both"/>
        <w:ind w:left="740" w:firstLine="564"/>
        <w:spacing w:after="0" w:line="253" w:lineRule="auto"/>
        <w:tabs>
          <w:tab w:leader="none" w:pos="221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FOREVER RELEASE, RELIEVE, AND DISCHARGE THE ADMINISTRATIVE AGENT AND EACH LENDER AND EACH OF THEIR RESPECTIVE OFFICERS, DIRECTORS, SHAREHOLDERS, MEMBERS, PARTNERS, PREDECESSORS, SUCCESSORS, ASSIGNS, ATTORNEYS, ACCOUNTANTS, AGENTS, EMPLOYEES, AND REPRESENTATIVES (COLLECTIVELY, THE “</w:t>
      </w:r>
      <w:r>
        <w:rPr>
          <w:rFonts w:ascii="Times New Roman" w:cs="Times New Roman" w:eastAsia="Times New Roman" w:hAnsi="Times New Roman"/>
          <w:sz w:val="18"/>
          <w:szCs w:val="18"/>
          <w:b w:val="1"/>
          <w:bCs w:val="1"/>
          <w:color w:val="auto"/>
        </w:rPr>
        <w:t>RELEASED PARTIES</w:t>
      </w:r>
      <w:r>
        <w:rPr>
          <w:rFonts w:ascii="Times New Roman" w:cs="Times New Roman" w:eastAsia="Times New Roman" w:hAnsi="Times New Roman"/>
          <w:sz w:val="18"/>
          <w:szCs w:val="18"/>
          <w:color w:val="auto"/>
        </w:rPr>
        <w:t>”), AND EACH OF THEM, FROM ANY AND ALL CLAIMS, LIABILITIES, DEMANDS, CAUSES OF ACTION, DEBTS, OBLIGATIONS, PROMISES, ACTS, AGREEMENTS, AND DAMAGES, OF WHATEVER KIND OR NATURE, WHETHER KNOWN OR UNKNOWN, SUSPECTED OR UNSUSPECTED, CONTINGENT OR FIXED, LIQUIDATED OR UNLIQUIDATED, MATURED OR UNMATURED, WHETHER AT LAW OR IN EQUITY, WHICH THE RELEASING PARTIES EVER HAD, NOW HAVE, OR MAY, SHALL, OR CAN HEREAFTER HAVE, DIRECTLY OR INDIRECTLY ARISING OUT OF OR IN ANY WAY BASED UPON, CONNECTED WITH, OR RELATED TO MATTERS, THINGS, ACTS, CONDUCT, AND/OR OMISSIONS AT ANY TIME FROM THE BEGINNING OF THE WORLD THROUGH AND INCLUDING THE DATE HEREOF, INCLUDING WITHOUT LIMITATION ANY AND ALL CLAIMS AGAINST THE RELEASED PARTIES ARISING UNDER OR RELATED TO ANY OF THE LOAN DOCUMENTS OR ANY OF THE TRANSACTIONS CONTEMPLATED THEREBY.</w:t>
      </w: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9" w:name="page90"/>
    <w:bookmarkEnd w:id="89"/>
    <w:p>
      <w:pPr>
        <w:jc w:val="both"/>
        <w:ind w:left="-8" w:firstLine="8"/>
        <w:spacing w:after="0" w:line="268" w:lineRule="auto"/>
        <w:tabs>
          <w:tab w:leader="none" w:pos="477"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82" w:lineRule="exact"/>
        <w:rPr>
          <w:rFonts w:ascii="Times New Roman" w:cs="Times New Roman" w:eastAsia="Times New Roman" w:hAnsi="Times New Roman"/>
          <w:sz w:val="18"/>
          <w:szCs w:val="18"/>
          <w:b w:val="1"/>
          <w:bCs w:val="1"/>
          <w:color w:val="auto"/>
        </w:rPr>
      </w:pPr>
    </w:p>
    <w:p>
      <w:pPr>
        <w:jc w:val="both"/>
        <w:ind w:left="732" w:firstLine="564"/>
        <w:spacing w:after="0" w:line="254" w:lineRule="auto"/>
        <w:tabs>
          <w:tab w:leader="none" w:pos="205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RELEASE CONTAINED HEREIN, THE RELEASING PARTIES ACKNOWLEDGE THAT THEY ARE AWARE THAT THEY MAY HEREAFTER DISCOVER CLAIMS PRESENTLY UNKNOWN OR UNSUSPECTED, OR FACTS IN ADDITION TO OR DIFFERENT FROM THOSE WHICH THEY KNOW OR BELIEVE TO BE TRUE, WITH RESPECT TO THE MATTERS RELEASED HEREIN. NEVERTHELESS, IT IS THE INTENTION OF THE RELEASING PARTIES, THROUGH THIS AMENDMENT AND WITH ADVICE OF COUNSEL, FULLY, FINALLY, AND FOREVER TO RELEASE ALL SUCH MATTERS, AND ALL CLAIMS RELATED THERETO, WHICH DO NOW EXIST, OR HERETOFORE HAVE EXISTED. IN FURTHERANCE OF SUCH INTENTION, THE RELEASES HEREIN GIVEN SHALL BE AND REMAIN IN EFFECT AS A FULL AND COMPLETE RELEASE OF SUCH MATTERS NOTWITHSTANDING THE DISCOVERY OR EXISTENCE OF ANY SUCH ADDITIONAL OR DIFFERENT CLAIMS OR FACTS RELATED THERETO.</w:t>
      </w:r>
    </w:p>
    <w:p>
      <w:pPr>
        <w:spacing w:after="0" w:line="188" w:lineRule="exact"/>
        <w:rPr>
          <w:rFonts w:ascii="Times New Roman" w:cs="Times New Roman" w:eastAsia="Times New Roman" w:hAnsi="Times New Roman"/>
          <w:sz w:val="18"/>
          <w:szCs w:val="18"/>
          <w:color w:val="auto"/>
        </w:rPr>
      </w:pPr>
    </w:p>
    <w:p>
      <w:pPr>
        <w:jc w:val="both"/>
        <w:ind w:left="732" w:firstLine="564"/>
        <w:spacing w:after="0" w:line="261" w:lineRule="auto"/>
        <w:tabs>
          <w:tab w:leader="none" w:pos="2471"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RELEASING PARTIES COVENANT AND AGREE NOT TO BRING ANY CLAIM, ACTION, SUIT, OR PROCEEDING AGAINST THE RELEASED PARTIES, DIRECTLY OR INDIRECTLY, REGARDING OR RELATED IN ANY MANNER TO THE MATTERS RELEASED HEREBY, AND FURTHER COVENANT AND AGREE THAT THIS AMENDMENT IS A BAR TO ANY SUCH CLAIM, ACTION, SUIT, OR PROCEEDING.</w:t>
      </w:r>
    </w:p>
    <w:p>
      <w:pPr>
        <w:spacing w:after="0" w:line="179" w:lineRule="exact"/>
        <w:rPr>
          <w:rFonts w:ascii="Times New Roman" w:cs="Times New Roman" w:eastAsia="Times New Roman" w:hAnsi="Times New Roman"/>
          <w:sz w:val="18"/>
          <w:szCs w:val="18"/>
          <w:color w:val="auto"/>
        </w:rPr>
      </w:pPr>
    </w:p>
    <w:p>
      <w:pPr>
        <w:jc w:val="both"/>
        <w:ind w:left="732" w:firstLine="564"/>
        <w:spacing w:after="0" w:line="266" w:lineRule="auto"/>
        <w:tabs>
          <w:tab w:leader="none" w:pos="2139"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RELEASING PARTIES REPRESENT AND WARRANT TO THE RELEASED PARTIES THAT THEY HAVE NOT HERETOFORE ASSIGNED OR TRANSFERRED, OR PURPORTED TO ASSIGN OR TRANSFER, TO ANY PERSON OR ENTITY ANY CLAIMS OR OTHER MATTERS HEREIN RELEASED.</w:t>
      </w:r>
    </w:p>
    <w:p>
      <w:pPr>
        <w:spacing w:after="0" w:line="175" w:lineRule="exact"/>
        <w:rPr>
          <w:rFonts w:ascii="Times New Roman" w:cs="Times New Roman" w:eastAsia="Times New Roman" w:hAnsi="Times New Roman"/>
          <w:sz w:val="18"/>
          <w:szCs w:val="18"/>
          <w:color w:val="auto"/>
        </w:rPr>
      </w:pPr>
    </w:p>
    <w:p>
      <w:pPr>
        <w:jc w:val="both"/>
        <w:ind w:left="732" w:firstLine="564"/>
        <w:spacing w:after="0" w:line="258" w:lineRule="auto"/>
        <w:tabs>
          <w:tab w:leader="none" w:pos="2112"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RELEASING PARTIES ACKNOWLEDGE THAT THEY HAVE HAD THE BENEFIT OF INDEPENDENT LEGAL ADVICE WITH RESPECT TO THE ADVISABILITY OF ENTERING INTO THIS RELEASE AND HEREBY KNOWINGLY, AND UPON SUCH ADVICE OF COUNSEL, WAIVE ANY AND ALL APPLICABLE RIGHTS AND BENEFITS UNDER, AND PROTECTIONS OF, CALIFORNIA CIVIL CODE SECTION 1542, AND ANY AND ALL STATUTES AND DOCTRINES OF SIMILAR EFFECT. CALIFORNIA CIVIL CODE SECTION 1542 PROVIDES AS FOLLOWS:</w:t>
      </w:r>
    </w:p>
    <w:p>
      <w:pPr>
        <w:spacing w:after="0" w:line="181" w:lineRule="exact"/>
        <w:rPr>
          <w:sz w:val="20"/>
          <w:szCs w:val="20"/>
          <w:color w:val="auto"/>
        </w:rPr>
      </w:pPr>
    </w:p>
    <w:p>
      <w:pPr>
        <w:jc w:val="both"/>
        <w:ind w:left="1292"/>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1" w:lineRule="exact"/>
        <w:rPr>
          <w:sz w:val="20"/>
          <w:szCs w:val="20"/>
          <w:color w:val="auto"/>
        </w:rPr>
      </w:pPr>
    </w:p>
    <w:p>
      <w:pPr>
        <w:jc w:val="both"/>
        <w:ind w:left="-8" w:firstLine="1304"/>
        <w:spacing w:after="0" w:line="254" w:lineRule="auto"/>
        <w:tabs>
          <w:tab w:leader="none" w:pos="203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Disclosure</w:t>
      </w:r>
      <w:r>
        <w:rPr>
          <w:rFonts w:ascii="Times New Roman" w:cs="Times New Roman" w:eastAsia="Times New Roman" w:hAnsi="Times New Roman"/>
          <w:sz w:val="18"/>
          <w:szCs w:val="18"/>
          <w:color w:val="auto"/>
        </w:rPr>
        <w:t>. Prior to market open on the second Business Day following the Fifth Amendment Effective Date, Holdings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Publicly Disclose in a broadly distributed press release the terms of this Amendment and any other Inside Information provided to any Public-Side Lender on or prior to the Fifth Amendment Effective Date (the “</w:t>
      </w:r>
      <w:r>
        <w:rPr>
          <w:rFonts w:ascii="Times New Roman" w:cs="Times New Roman" w:eastAsia="Times New Roman" w:hAnsi="Times New Roman"/>
          <w:sz w:val="18"/>
          <w:szCs w:val="18"/>
          <w:u w:val="single" w:color="auto"/>
          <w:color w:val="auto"/>
        </w:rPr>
        <w:t>Fifth Amendment Announcing Report</w:t>
      </w:r>
      <w:r>
        <w:rPr>
          <w:rFonts w:ascii="Times New Roman" w:cs="Times New Roman" w:eastAsia="Times New Roman" w:hAnsi="Times New Roman"/>
          <w:sz w:val="18"/>
          <w:szCs w:val="18"/>
          <w:color w:val="auto"/>
        </w:rPr>
        <w:t>”). Upon the issuance of the Fifth Amendment Announcing Report, Holdings shall have Publicly Disclosed all Inside Information (if any) provided to any Public-Side Lender on or prior to the Fifth Amendment Effective Date. Without limiting the provisions of Section 7.15 of the Credit Agreement, the parties hereto hereby agree that neither any Loan Party nor the Administrative Agent shall, and each such Person shall cause each of its employees, officers, directors (or equivalent persons), Affiliates, attorneys, agents and representatives not to, provide any Public-Side Lender or any of its attorneys, agents or representatives (other than the Administrative Agent and its Outside Counsel) with any Inside Information from and after the Fifth Amendment Effective Date without the express prior written consent of such Public-Side Lender (which consent may be provided by written notice to the Borrower in a specified case or on an ongoing basis (subject in any case to such Public-Side Lender’s right to withdraw such consent in a subsequent written notice to the Borrower)).</w:t>
      </w:r>
    </w:p>
    <w:p>
      <w:pPr>
        <w:spacing w:after="0" w:line="29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225" w:right="339" w:bottom="1440" w:gutter="0" w:footer="0" w:header="0"/>
        </w:sectPr>
      </w:pPr>
    </w:p>
    <w:bookmarkStart w:id="90" w:name="page91"/>
    <w:bookmarkEnd w:id="90"/>
    <w:p>
      <w:pPr>
        <w:jc w:val="both"/>
        <w:ind w:firstLine="8"/>
        <w:spacing w:after="0" w:line="268" w:lineRule="auto"/>
        <w:tabs>
          <w:tab w:leader="none" w:pos="485"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78"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2043"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 Governing Law</w:t>
      </w:r>
      <w:r>
        <w:rPr>
          <w:rFonts w:ascii="Times New Roman" w:cs="Times New Roman" w:eastAsia="Times New Roman" w:hAnsi="Times New Roman"/>
          <w:sz w:val="18"/>
          <w:szCs w:val="18"/>
          <w:color w:val="auto"/>
        </w:rPr>
        <w:t>. This Amendment may be executed by the Parties in several counterparts, each of which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original and all of which shall constitute together but one and the same agreement. This Amendment shall become effective when counterparts hereof executed on behalf of the Borrower, Holdings, each other Guarantor, the Lenders and the Administrative Agent shall have been received by the Administrative Agent. Delivery of an executed counterpart of a signature page to this Amendment by email (in “pdf,” “tiff” or similar format) or telecopy shall be effective as delivery of a manually executed counterpart of this Amendment. THIS AMENDMENT AND ANY CLAIMS, CONTROVERSY, DISPUTE OR CAUSE OF ACTION (WHETHER IN CONTRACT OR TORT OR OTHERWISE) BASED UPON, ARISING OUT OF OR RELATING TO THIS AMENDMENT SHALL BE GOVERNED BY, AND CONSTRUED IN ACCORDANCE WITH, THE INTERNAL LAWS OF THE STATE OF NEW YORK (INCLUDING FOR SUCH PURPOSE SECTIONS 5-1401 AND 5-1402 OF THE GENERAL OBLIGATIONS LAW OF THE STATE OF NEW YORK) WITHOUT REGARD TO ANY CHOICE OR CONFLICT OF LAWS PROVISIONS OR RULES THAT WOULD REQUIRE THE APPLICATION OF THE LAWS OF ANY OTHER JURISDICTION.</w:t>
      </w:r>
    </w:p>
    <w:p>
      <w:pPr>
        <w:spacing w:after="0" w:line="185" w:lineRule="exact"/>
        <w:rPr>
          <w:rFonts w:ascii="Times New Roman" w:cs="Times New Roman" w:eastAsia="Times New Roman" w:hAnsi="Times New Roman"/>
          <w:sz w:val="18"/>
          <w:szCs w:val="18"/>
          <w:color w:val="auto"/>
        </w:rPr>
      </w:pPr>
    </w:p>
    <w:p>
      <w:pPr>
        <w:ind w:firstLine="1304"/>
        <w:spacing w:after="0" w:line="286" w:lineRule="auto"/>
        <w:tabs>
          <w:tab w:leader="none" w:pos="2184"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Direction</w:t>
      </w:r>
      <w:r>
        <w:rPr>
          <w:rFonts w:ascii="Times New Roman" w:cs="Times New Roman" w:eastAsia="Times New Roman" w:hAnsi="Times New Roman"/>
          <w:sz w:val="18"/>
          <w:szCs w:val="18"/>
          <w:color w:val="auto"/>
        </w:rPr>
        <w:t>. The Lenders party hereto, constituting all Lenders under the Credit Agreement, hereby authorize and direct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to execute and deliver this Amendment.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1" w:name="page92"/>
    <w:bookmarkEnd w:id="91"/>
    <w:p>
      <w:pPr>
        <w:jc w:val="both"/>
        <w:ind w:firstLine="8"/>
        <w:spacing w:after="0" w:line="268" w:lineRule="auto"/>
        <w:tabs>
          <w:tab w:leader="none" w:pos="485"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63"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Amendment to be executed by their respective officers thereunto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day and year first above written.</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VALNEVA AUSTRIA GMBH</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VALNEVA SE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Holdings</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VALNEVA CANADA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Guarantor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VALNEVA UK LTD.</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Guarantor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Fifth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2" w:name="page93"/>
    <w:bookmarkEnd w:id="92"/>
    <w:p>
      <w:pPr>
        <w:ind w:left="4520"/>
        <w:spacing w:after="0"/>
        <w:rPr>
          <w:sz w:val="20"/>
          <w:szCs w:val="20"/>
          <w:color w:val="auto"/>
        </w:rPr>
      </w:pPr>
      <w:r>
        <w:rPr>
          <w:rFonts w:ascii="Times New Roman" w:cs="Times New Roman" w:eastAsia="Times New Roman" w:hAnsi="Times New Roman"/>
          <w:sz w:val="18"/>
          <w:szCs w:val="18"/>
          <w:b w:val="1"/>
          <w:bCs w:val="1"/>
          <w:color w:val="auto"/>
        </w:rPr>
        <w:t>VALNEVA SCOTLAND LTD.,</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Guarantor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VALNEVA USA INC.,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Guarantor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VALNEVA SWEDEN AB,</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Guarantor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VACCINES HOLDINGS SWEDEN AB,</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Guarantor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Fifth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248920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93" w:name="page94"/>
    <w:bookmarkEnd w:id="93"/>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ORBIMED ROYALTY &amp; CREDIT OPPORTUNITIES III, LP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Lender</w:t>
      </w:r>
    </w:p>
    <w:p>
      <w:pPr>
        <w:spacing w:after="0" w:line="159" w:lineRule="exact"/>
        <w:rPr>
          <w:sz w:val="20"/>
          <w:szCs w:val="20"/>
          <w:color w:val="auto"/>
        </w:rPr>
      </w:pPr>
    </w:p>
    <w:p>
      <w:pPr>
        <w:jc w:val="center"/>
        <w:ind w:left="2060"/>
        <w:spacing w:after="0"/>
        <w:rPr>
          <w:sz w:val="20"/>
          <w:szCs w:val="20"/>
          <w:color w:val="auto"/>
        </w:rPr>
      </w:pPr>
      <w:r>
        <w:rPr>
          <w:rFonts w:ascii="Times New Roman" w:cs="Times New Roman" w:eastAsia="Times New Roman" w:hAnsi="Times New Roman"/>
          <w:sz w:val="18"/>
          <w:szCs w:val="18"/>
          <w:color w:val="auto"/>
        </w:rPr>
        <w:t>By: OrbiMed ROF III LLC,</w:t>
      </w:r>
    </w:p>
    <w:p>
      <w:pPr>
        <w:spacing w:after="0" w:line="27" w:lineRule="exact"/>
        <w:rPr>
          <w:sz w:val="20"/>
          <w:szCs w:val="20"/>
          <w:color w:val="auto"/>
        </w:rPr>
      </w:pPr>
    </w:p>
    <w:p>
      <w:pPr>
        <w:jc w:val="center"/>
        <w:ind w:left="20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OrbiMed Advisors, LLC,</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w:t>
      </w:r>
    </w:p>
    <w:p>
      <w:pPr>
        <w:spacing w:after="0" w:line="20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i w:val="1"/>
          <w:iCs w:val="1"/>
          <w:color w:val="auto"/>
        </w:rPr>
        <w:t>Signature Page to Fifth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241300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00"/>
          </w:cols>
          <w:pgMar w:left="1440" w:top="792" w:right="1059" w:bottom="1440" w:gutter="0" w:footer="0" w:header="0"/>
        </w:sectPr>
      </w:pPr>
    </w:p>
    <w:bookmarkStart w:id="94" w:name="page95"/>
    <w:bookmarkEnd w:id="94"/>
    <w:p>
      <w:pPr>
        <w:ind w:left="4520"/>
        <w:spacing w:after="0"/>
        <w:rPr>
          <w:sz w:val="20"/>
          <w:szCs w:val="20"/>
          <w:color w:val="auto"/>
        </w:rPr>
      </w:pPr>
      <w:r>
        <w:rPr>
          <w:rFonts w:ascii="Times New Roman" w:cs="Times New Roman" w:eastAsia="Times New Roman" w:hAnsi="Times New Roman"/>
          <w:sz w:val="17"/>
          <w:szCs w:val="17"/>
          <w:b w:val="1"/>
          <w:bCs w:val="1"/>
          <w:color w:val="auto"/>
        </w:rPr>
        <w:t>DEERFIELD PARTNERS, L.P.</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Deerfield Mgmt, L.P.,</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J.E. Flynn capital, LLC,</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Fifth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248920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95" w:name="page96"/>
    <w:bookmarkEnd w:id="95"/>
    <w:p>
      <w:pPr>
        <w:ind w:left="4740"/>
        <w:spacing w:after="0"/>
        <w:rPr>
          <w:sz w:val="20"/>
          <w:szCs w:val="20"/>
          <w:color w:val="auto"/>
        </w:rPr>
      </w:pPr>
      <w:r>
        <w:rPr>
          <w:rFonts w:ascii="Times New Roman" w:cs="Times New Roman" w:eastAsia="Times New Roman" w:hAnsi="Times New Roman"/>
          <w:sz w:val="17"/>
          <w:szCs w:val="17"/>
          <w:b w:val="1"/>
          <w:bCs w:val="1"/>
          <w:color w:val="auto"/>
        </w:rPr>
        <w:t>WILMINGTON TRUST, NATIONAL ASSOCIATION</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as the Administrative Agent</w:t>
      </w:r>
    </w:p>
    <w:p>
      <w:pPr>
        <w:spacing w:after="0" w:line="20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Title: [***]</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Fifth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20"/>
          </w:cols>
          <w:pgMar w:left="1440" w:top="792" w:right="1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Valneva SE 6-K</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15" w:lineRule="exact"/>
        <w:rPr>
          <w:sz w:val="20"/>
          <w:szCs w:val="20"/>
          <w:color w:val="auto"/>
        </w:rPr>
      </w:pPr>
    </w:p>
    <w:p>
      <w:pPr>
        <w:jc w:val="both"/>
        <w:ind w:firstLine="8"/>
        <w:spacing w:after="0" w:line="259" w:lineRule="auto"/>
        <w:tabs>
          <w:tab w:leader="none" w:pos="485"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Strictly confidential</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the APA No: SANTE/2020/C3/089</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Amendment to the Advance Purchase Agreement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made effective as of the last date of signature (the “</w:t>
      </w:r>
      <w:r>
        <w:rPr>
          <w:rFonts w:ascii="Times New Roman" w:cs="Times New Roman" w:eastAsia="Times New Roman" w:hAnsi="Times New Roman"/>
          <w:sz w:val="18"/>
          <w:szCs w:val="18"/>
          <w:b w:val="1"/>
          <w:bCs w:val="1"/>
          <w:color w:val="auto"/>
        </w:rPr>
        <w:t>Amendment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by and between Valneva Austria GmbH, a limited liability company (</w:t>
      </w:r>
      <w:r>
        <w:rPr>
          <w:rFonts w:ascii="Times New Roman" w:cs="Times New Roman" w:eastAsia="Times New Roman" w:hAnsi="Times New Roman"/>
          <w:sz w:val="18"/>
          <w:szCs w:val="18"/>
          <w:i w:val="1"/>
          <w:iCs w:val="1"/>
          <w:color w:val="auto"/>
        </w:rPr>
        <w:t>Gesellschaft mit beschränkter Haftung</w:t>
      </w:r>
      <w:r>
        <w:rPr>
          <w:rFonts w:ascii="Times New Roman" w:cs="Times New Roman" w:eastAsia="Times New Roman" w:hAnsi="Times New Roman"/>
          <w:sz w:val="18"/>
          <w:szCs w:val="18"/>
          <w:color w:val="auto"/>
        </w:rPr>
        <w:t>) incorporated under company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whose registered office is at Campus Vienna Biocenter 3, 1030 Vienna, Austria (the “</w:t>
      </w:r>
      <w:r>
        <w:rPr>
          <w:rFonts w:ascii="Times New Roman" w:cs="Times New Roman" w:eastAsia="Times New Roman" w:hAnsi="Times New Roman"/>
          <w:sz w:val="18"/>
          <w:szCs w:val="18"/>
          <w:b w:val="1"/>
          <w:bCs w:val="1"/>
          <w:color w:val="auto"/>
        </w:rPr>
        <w:t>contractor</w:t>
      </w:r>
      <w:r>
        <w:rPr>
          <w:rFonts w:ascii="Times New Roman" w:cs="Times New Roman" w:eastAsia="Times New Roman" w:hAnsi="Times New Roman"/>
          <w:sz w:val="18"/>
          <w:szCs w:val="18"/>
          <w:color w:val="auto"/>
        </w:rPr>
        <w:t>”), and the European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acting on behalf and in the name of the Participating Member States to the APA.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contractor and the Commission entered into Advanced Purchase Agreement dated effective on 23 November 2021 (the “</w:t>
      </w:r>
      <w:r>
        <w:rPr>
          <w:rFonts w:ascii="Times New Roman" w:cs="Times New Roman" w:eastAsia="Times New Roman" w:hAnsi="Times New Roman"/>
          <w:sz w:val="18"/>
          <w:szCs w:val="18"/>
          <w:b w:val="1"/>
          <w:bCs w:val="1"/>
          <w:color w:val="auto"/>
        </w:rPr>
        <w:t>APA</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Product has not received a Marketing Authorisation for the Product on or before 30 April 2022, which, pursuant to Article II.16.1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APA, provided a legal ground for the Commission to terminate the APA in the absence of an acceptable remedial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on 13 May 2022 the Commission has sent to the contractor a Termination Intent Notice;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18 May 2022, the contractor proposed a remedial plan to the Commission and the Participating Member States consisting of a draft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to the APA offering the Participating Member States, depending on their choices, the possibility to withdraw from the APA, adjust their orders or maintain their initial orders.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on 23 June 2022 the Product received a positive opinion by EMA, recommending issuance of an unconditional marketing authorisation;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Commission decision to grant an unconditional Marketing Authorisation was adopted on 24 June 2022;</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following the discussions on the remedial plan proposed by the contractor on 18 May 2022, and updates thereto of 7 and 9 June 2022,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desire to amend certain provisions of the Agreement, in particular to allow the Participating Member States to opt 1) to pursue the implementation of the APA, without any modification to the volumes ordered under their respective Vaccine Order Forms; 2) to pursue the implementation of the APA, with a reduction of the volumes under their respective Vaccine Order Forms; or 3) to terminate the APA and their respective Vaccine Order Forms.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hereto agree that the APA shall be amended.</w:t>
      </w:r>
    </w:p>
    <w:p>
      <w:pPr>
        <w:spacing w:after="0" w:line="221" w:lineRule="exact"/>
        <w:rPr>
          <w:sz w:val="20"/>
          <w:szCs w:val="20"/>
          <w:color w:val="auto"/>
        </w:rPr>
      </w:pPr>
    </w:p>
    <w:p>
      <w:pPr>
        <w:ind w:left="660" w:hanging="652"/>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Scope of the Amendment</w:t>
      </w:r>
    </w:p>
    <w:p>
      <w:pPr>
        <w:spacing w:after="0" w:line="229" w:lineRule="exact"/>
        <w:rPr>
          <w:rFonts w:ascii="Times New Roman" w:cs="Times New Roman" w:eastAsia="Times New Roman" w:hAnsi="Times New Roman"/>
          <w:sz w:val="18"/>
          <w:szCs w:val="18"/>
          <w:color w:val="auto"/>
        </w:rPr>
      </w:pPr>
    </w:p>
    <w:p>
      <w:pPr>
        <w:ind w:left="1300" w:hanging="64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1.1.The Parties hereby agree to (i) formalize the justified termination of the APA for certain Participating Member States pursuant to Article II.16.1 of the APA on the ground that the long stop date relating to Marketing Authorisation of 30 April 2022 was not met (ii) reduce the volume of Doses under their respective Vaccine Order Forms for certain other Participating Member States, (iii) amend the timelines of the implementation of the APA with respect to the Remaining Member States (as defined in Article 3.3 of the Amendment) and, as a result of the preceding changes, (iv) amend the rights and obligations of the Parties with respect to the delivery of the Doses.</w:t>
      </w:r>
    </w:p>
    <w:p>
      <w:pPr>
        <w:spacing w:after="0" w:line="183" w:lineRule="exact"/>
        <w:rPr>
          <w:rFonts w:ascii="Times New Roman" w:cs="Times New Roman" w:eastAsia="Times New Roman" w:hAnsi="Times New Roman"/>
          <w:sz w:val="18"/>
          <w:szCs w:val="18"/>
          <w:color w:val="auto"/>
        </w:rPr>
      </w:pPr>
    </w:p>
    <w:p>
      <w:pPr>
        <w:ind w:left="130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1.2.Except as set forth in this Amendment, all other articles and annexes of the APA shall remain unchanged and unaffected. This Amendment has been prepared and entered into in accordance with Article II.10.2 of the APA and forms an integral part of the APA.</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7" w:name="page98"/>
    <w:bookmarkEnd w:id="97"/>
    <w:p>
      <w:pPr>
        <w:jc w:val="both"/>
        <w:ind w:firstLine="8"/>
        <w:spacing w:after="0" w:line="268" w:lineRule="auto"/>
        <w:tabs>
          <w:tab w:leader="none" w:pos="485"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00" w:lineRule="exact"/>
        <w:rPr>
          <w:sz w:val="20"/>
          <w:szCs w:val="20"/>
          <w:color w:val="auto"/>
        </w:rPr>
      </w:pPr>
    </w:p>
    <w:p>
      <w:pPr>
        <w:spacing w:after="0" w:line="32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Capitalized terms used in this Amendment that are defined in the APA have the same meaning in this Amendment.</w:t>
      </w:r>
    </w:p>
    <w:p>
      <w:pPr>
        <w:spacing w:after="0" w:line="221" w:lineRule="exact"/>
        <w:rPr>
          <w:sz w:val="20"/>
          <w:szCs w:val="20"/>
          <w:color w:val="auto"/>
        </w:rPr>
      </w:pPr>
    </w:p>
    <w:p>
      <w:pPr>
        <w:ind w:left="660" w:hanging="652"/>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Options for the implementation of the APA</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Parties have agreed that each of the Participating Member States has the option to:</w:t>
      </w:r>
    </w:p>
    <w:p>
      <w:pPr>
        <w:spacing w:after="0" w:line="225" w:lineRule="exact"/>
        <w:rPr>
          <w:sz w:val="20"/>
          <w:szCs w:val="20"/>
          <w:color w:val="auto"/>
        </w:rPr>
      </w:pPr>
    </w:p>
    <w:p>
      <w:pPr>
        <w:ind w:left="1960" w:hanging="647"/>
        <w:spacing w:after="0" w:line="282" w:lineRule="auto"/>
        <w:tabs>
          <w:tab w:leader="none" w:pos="1940" w:val="left"/>
        </w:tabs>
        <w:rPr>
          <w:sz w:val="20"/>
          <w:szCs w:val="20"/>
          <w:color w:val="auto"/>
        </w:rPr>
      </w:pPr>
      <w:r>
        <w:rPr>
          <w:rFonts w:ascii="Times New Roman" w:cs="Times New Roman" w:eastAsia="Times New Roman" w:hAnsi="Times New Roman"/>
          <w:sz w:val="18"/>
          <w:szCs w:val="18"/>
          <w:color w:val="auto"/>
        </w:rPr>
        <w:t>2.1.1.</w:t>
        <w:tab/>
        <w:t>pursue the implementation of the APA, without any modification to the volumes ordered under their respective Vaccine Order Forms, subject to the provisions of Articles 3 and 4 of this Amendment (“</w:t>
      </w:r>
      <w:r>
        <w:rPr>
          <w:rFonts w:ascii="Times New Roman" w:cs="Times New Roman" w:eastAsia="Times New Roman" w:hAnsi="Times New Roman"/>
          <w:sz w:val="18"/>
          <w:szCs w:val="18"/>
          <w:b w:val="1"/>
          <w:bCs w:val="1"/>
          <w:color w:val="auto"/>
        </w:rPr>
        <w:t>Option 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960" w:hanging="647"/>
        <w:spacing w:after="0" w:line="282" w:lineRule="auto"/>
        <w:tabs>
          <w:tab w:leader="none" w:pos="1940" w:val="left"/>
        </w:tabs>
        <w:rPr>
          <w:sz w:val="20"/>
          <w:szCs w:val="20"/>
          <w:color w:val="auto"/>
        </w:rPr>
      </w:pPr>
      <w:r>
        <w:rPr>
          <w:rFonts w:ascii="Times New Roman" w:cs="Times New Roman" w:eastAsia="Times New Roman" w:hAnsi="Times New Roman"/>
          <w:sz w:val="18"/>
          <w:szCs w:val="18"/>
          <w:color w:val="auto"/>
        </w:rPr>
        <w:t>2.1.2.</w:t>
        <w:tab/>
        <w:t>pursue the implementation of the APA, with a reduction of the volumes under their respective Vaccine Order Forms, subject to the provisions of Articles 3, 5 and 7 of this Amendment (“</w:t>
      </w:r>
      <w:r>
        <w:rPr>
          <w:rFonts w:ascii="Times New Roman" w:cs="Times New Roman" w:eastAsia="Times New Roman" w:hAnsi="Times New Roman"/>
          <w:sz w:val="18"/>
          <w:szCs w:val="18"/>
          <w:b w:val="1"/>
          <w:bCs w:val="1"/>
          <w:color w:val="auto"/>
        </w:rPr>
        <w:t>Option 2</w:t>
      </w:r>
      <w:r>
        <w:rPr>
          <w:rFonts w:ascii="Times New Roman" w:cs="Times New Roman" w:eastAsia="Times New Roman" w:hAnsi="Times New Roman"/>
          <w:sz w:val="18"/>
          <w:szCs w:val="18"/>
          <w:color w:val="auto"/>
        </w:rPr>
        <w:t>”); or</w:t>
      </w:r>
    </w:p>
    <w:p>
      <w:pPr>
        <w:spacing w:after="0" w:line="162" w:lineRule="exact"/>
        <w:rPr>
          <w:sz w:val="20"/>
          <w:szCs w:val="20"/>
          <w:color w:val="auto"/>
        </w:rPr>
      </w:pPr>
    </w:p>
    <w:p>
      <w:pPr>
        <w:ind w:left="1960" w:hanging="647"/>
        <w:spacing w:after="0" w:line="282" w:lineRule="auto"/>
        <w:tabs>
          <w:tab w:leader="none" w:pos="1940" w:val="left"/>
        </w:tabs>
        <w:rPr>
          <w:sz w:val="20"/>
          <w:szCs w:val="20"/>
          <w:color w:val="auto"/>
        </w:rPr>
      </w:pPr>
      <w:r>
        <w:rPr>
          <w:rFonts w:ascii="Times New Roman" w:cs="Times New Roman" w:eastAsia="Times New Roman" w:hAnsi="Times New Roman"/>
          <w:sz w:val="18"/>
          <w:szCs w:val="18"/>
          <w:color w:val="auto"/>
        </w:rPr>
        <w:t>2.1.3.</w:t>
        <w:tab/>
        <w:t>terminate the APA and their respective Vaccine Order Forms, subject to the provisions of Article 6 and 7 of this Amendment (“</w:t>
      </w:r>
      <w:r>
        <w:rPr>
          <w:rFonts w:ascii="Times New Roman" w:cs="Times New Roman" w:eastAsia="Times New Roman" w:hAnsi="Times New Roman"/>
          <w:sz w:val="18"/>
          <w:szCs w:val="18"/>
          <w:b w:val="1"/>
          <w:bCs w:val="1"/>
          <w:color w:val="auto"/>
        </w:rPr>
        <w:t>Option 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Participating Member States having chosen Option 1 or Option 2 are collectively referred to as the “</w:t>
      </w:r>
      <w:r>
        <w:rPr>
          <w:rFonts w:ascii="Times New Roman" w:cs="Times New Roman" w:eastAsia="Times New Roman" w:hAnsi="Times New Roman"/>
          <w:sz w:val="18"/>
          <w:szCs w:val="18"/>
          <w:b w:val="1"/>
          <w:bCs w:val="1"/>
          <w:color w:val="auto"/>
        </w:rPr>
        <w:t>Remaining Member States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According to the options in Article 2.1 of this Amendment selected by the respective Participating Member States, all of the references to the volume and allocation of the Doses under the APA and the Vaccine Order Forms are corrected according to Annex I of this Amendment, which replaces Annex I of the APA.</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Parties agree that no suspension and cancellation of Doses and reimbursement of Down Payment can occur under:</w:t>
      </w:r>
    </w:p>
    <w:p>
      <w:pPr>
        <w:spacing w:after="0" w:line="225" w:lineRule="exact"/>
        <w:rPr>
          <w:sz w:val="20"/>
          <w:szCs w:val="20"/>
          <w:color w:val="auto"/>
        </w:rPr>
      </w:pPr>
    </w:p>
    <w:p>
      <w:pPr>
        <w:ind w:left="1960" w:hanging="647"/>
        <w:spacing w:after="0" w:line="282" w:lineRule="auto"/>
        <w:tabs>
          <w:tab w:leader="none" w:pos="1940" w:val="left"/>
        </w:tabs>
        <w:rPr>
          <w:sz w:val="20"/>
          <w:szCs w:val="20"/>
          <w:color w:val="auto"/>
        </w:rPr>
      </w:pPr>
      <w:r>
        <w:rPr>
          <w:rFonts w:ascii="Times New Roman" w:cs="Times New Roman" w:eastAsia="Times New Roman" w:hAnsi="Times New Roman"/>
          <w:sz w:val="18"/>
          <w:szCs w:val="18"/>
          <w:color w:val="auto"/>
        </w:rPr>
        <w:t>2.3.1.</w:t>
        <w:tab/>
        <w:t>Article I.4.7.2.a) of the APA on the grounds of the new Delivery Schedule being adopted under Article 3.3 of this Amendment; or</w:t>
      </w:r>
    </w:p>
    <w:p>
      <w:pPr>
        <w:spacing w:after="0" w:line="16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color w:val="auto"/>
        </w:rPr>
        <w:t>Article I.4.7.4 of the APA.</w:t>
      </w:r>
    </w:p>
    <w:p>
      <w:pPr>
        <w:spacing w:after="0" w:line="221" w:lineRule="exact"/>
        <w:rPr>
          <w:sz w:val="20"/>
          <w:szCs w:val="20"/>
          <w:color w:val="auto"/>
        </w:rPr>
      </w:pPr>
    </w:p>
    <w:p>
      <w:pPr>
        <w:ind w:left="660" w:hanging="652"/>
        <w:spacing w:after="0"/>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implementation of the APA under Option 1 and Option 2</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Remaining Member States:</w:t>
      </w:r>
    </w:p>
    <w:p>
      <w:pPr>
        <w:spacing w:after="0" w:line="225" w:lineRule="exact"/>
        <w:rPr>
          <w:sz w:val="20"/>
          <w:szCs w:val="20"/>
          <w:color w:val="auto"/>
        </w:rPr>
      </w:pPr>
    </w:p>
    <w:p>
      <w:pPr>
        <w:ind w:left="1960" w:hanging="647"/>
        <w:spacing w:after="0" w:line="282" w:lineRule="auto"/>
        <w:tabs>
          <w:tab w:leader="none" w:pos="1940" w:val="left"/>
        </w:tabs>
        <w:rPr>
          <w:sz w:val="20"/>
          <w:szCs w:val="20"/>
          <w:color w:val="auto"/>
        </w:rPr>
      </w:pPr>
      <w:r>
        <w:rPr>
          <w:rFonts w:ascii="Times New Roman" w:cs="Times New Roman" w:eastAsia="Times New Roman" w:hAnsi="Times New Roman"/>
          <w:sz w:val="18"/>
          <w:szCs w:val="18"/>
          <w:color w:val="auto"/>
        </w:rPr>
        <w:t>3.1.1.</w:t>
        <w:tab/>
        <w:t>will not terminate the APA despite the fact that the contractor failed to receive a Marketing Authorisation for the Product on or before 30 April 2022, which is one of the long stop dates described in Article II.16.1 of the APA; and</w:t>
      </w:r>
    </w:p>
    <w:p>
      <w:pPr>
        <w:spacing w:after="0" w:line="162" w:lineRule="exact"/>
        <w:rPr>
          <w:sz w:val="20"/>
          <w:szCs w:val="20"/>
          <w:color w:val="auto"/>
        </w:rPr>
      </w:pPr>
    </w:p>
    <w:p>
      <w:pPr>
        <w:ind w:left="1960" w:hanging="647"/>
        <w:spacing w:after="0" w:line="282" w:lineRule="auto"/>
        <w:tabs>
          <w:tab w:leader="none" w:pos="1940" w:val="left"/>
        </w:tabs>
        <w:rPr>
          <w:sz w:val="20"/>
          <w:szCs w:val="20"/>
          <w:color w:val="auto"/>
        </w:rPr>
      </w:pPr>
      <w:r>
        <w:rPr>
          <w:rFonts w:ascii="Times New Roman" w:cs="Times New Roman" w:eastAsia="Times New Roman" w:hAnsi="Times New Roman"/>
          <w:sz w:val="18"/>
          <w:szCs w:val="18"/>
          <w:color w:val="auto"/>
        </w:rPr>
        <w:t>3.1.2.</w:t>
        <w:tab/>
        <w:t>will amend their Vaccine Order Forms to adjust to the adapted volumes and allocations in Annex I of this Amendment, which replaces Annex I of the APA in accordance with Article 2.2 of this Amendment.</w:t>
      </w:r>
    </w:p>
    <w:p>
      <w:pPr>
        <w:spacing w:after="0" w:line="162"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contractor shall make the first delivery upon the signature of this Amendment as early as possible from a regulatory process perspective and in accordance with the agreed Delivery Schedule.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8" w:name="page99"/>
    <w:bookmarkEnd w:id="98"/>
    <w:p>
      <w:pPr>
        <w:jc w:val="both"/>
        <w:ind w:firstLine="8"/>
        <w:spacing w:after="0" w:line="268" w:lineRule="auto"/>
        <w:tabs>
          <w:tab w:leader="none" w:pos="485"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67" w:lineRule="exact"/>
        <w:rPr>
          <w:sz w:val="20"/>
          <w:szCs w:val="20"/>
          <w:color w:val="auto"/>
        </w:rPr>
      </w:pPr>
    </w:p>
    <w:p>
      <w:pPr>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As of the Amendment Effective Date, the Delivery Schedule set out in Article I.4.7.1 of the APA is replaced by the Delivery Schedule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114300</wp:posOffset>
            </wp:positionV>
            <wp:extent cx="6558280" cy="14401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558280" cy="1440180"/>
                    </a:xfrm>
                    <a:prstGeom prst="rect">
                      <a:avLst/>
                    </a:prstGeom>
                    <a:noFill/>
                  </pic:spPr>
                </pic:pic>
              </a:graphicData>
            </a:graphic>
          </wp:anchor>
        </w:drawing>
      </w:r>
    </w:p>
    <w:p>
      <w:pPr>
        <w:spacing w:after="0" w:line="160" w:lineRule="exact"/>
        <w:rPr>
          <w:sz w:val="20"/>
          <w:szCs w:val="20"/>
          <w:color w:val="auto"/>
        </w:rPr>
      </w:pPr>
    </w:p>
    <w:tbl>
      <w:tblPr>
        <w:tblLayout w:type="fixed"/>
        <w:tblInd w:w="920" w:type="dxa"/>
        <w:tblCellMar>
          <w:top w:w="0" w:type="dxa"/>
          <w:left w:w="0" w:type="dxa"/>
          <w:bottom w:w="0" w:type="dxa"/>
          <w:right w:w="0" w:type="dxa"/>
        </w:tblCellMar>
      </w:tblPr>
      <w:tr>
        <w:trPr>
          <w:trHeight w:val="284"/>
        </w:trPr>
        <w:tc>
          <w:tcPr>
            <w:tcW w:w="2880" w:type="dxa"/>
            <w:vAlign w:val="bottom"/>
            <w:gridSpan w:val="3"/>
            <w:shd w:val="clear" w:color="auto" w:fill="1E3C73"/>
          </w:tcPr>
          <w:p>
            <w:pPr>
              <w:jc w:val="right"/>
              <w:ind w:right="2360"/>
              <w:spacing w:after="0"/>
              <w:rPr>
                <w:sz w:val="20"/>
                <w:szCs w:val="20"/>
                <w:color w:val="auto"/>
              </w:rPr>
            </w:pPr>
            <w:r>
              <w:rPr>
                <w:rFonts w:ascii="Times New Roman" w:cs="Times New Roman" w:eastAsia="Times New Roman" w:hAnsi="Times New Roman"/>
                <w:sz w:val="18"/>
                <w:szCs w:val="18"/>
                <w:b w:val="1"/>
                <w:bCs w:val="1"/>
                <w:color w:val="FFFFFF"/>
              </w:rPr>
              <w:t>[***]</w:t>
            </w:r>
          </w:p>
        </w:tc>
        <w:tc>
          <w:tcPr>
            <w:tcW w:w="7420" w:type="dxa"/>
            <w:vAlign w:val="bottom"/>
            <w:shd w:val="clear" w:color="auto" w:fill="1E3C73"/>
          </w:tcPr>
          <w:p>
            <w:pPr>
              <w:jc w:val="right"/>
              <w:ind w:right="6810"/>
              <w:spacing w:after="0"/>
              <w:rPr>
                <w:sz w:val="20"/>
                <w:szCs w:val="20"/>
                <w:color w:val="auto"/>
              </w:rPr>
            </w:pPr>
            <w:r>
              <w:rPr>
                <w:rFonts w:ascii="Times New Roman" w:cs="Times New Roman" w:eastAsia="Times New Roman" w:hAnsi="Times New Roman"/>
                <w:sz w:val="18"/>
                <w:szCs w:val="18"/>
                <w:b w:val="1"/>
                <w:bCs w:val="1"/>
                <w:color w:val="FFFFFF"/>
              </w:rPr>
              <w:t>[***]</w:t>
            </w:r>
          </w:p>
        </w:tc>
      </w:tr>
      <w:tr>
        <w:trPr>
          <w:trHeight w:val="297"/>
        </w:trPr>
        <w:tc>
          <w:tcPr>
            <w:tcW w:w="120" w:type="dxa"/>
            <w:vAlign w:val="bottom"/>
            <w:shd w:val="clear" w:color="auto" w:fill="1E3C73"/>
          </w:tcPr>
          <w:p>
            <w:pPr>
              <w:spacing w:after="0"/>
              <w:rPr>
                <w:sz w:val="24"/>
                <w:szCs w:val="24"/>
                <w:color w:val="auto"/>
              </w:rPr>
            </w:pPr>
          </w:p>
        </w:tc>
        <w:tc>
          <w:tcPr>
            <w:tcW w:w="400" w:type="dxa"/>
            <w:vAlign w:val="bottom"/>
            <w:shd w:val="clear" w:color="auto" w:fill="1E3C73"/>
          </w:tcPr>
          <w:p>
            <w:pPr>
              <w:spacing w:after="0"/>
              <w:rPr>
                <w:sz w:val="24"/>
                <w:szCs w:val="24"/>
                <w:color w:val="auto"/>
              </w:rPr>
            </w:pPr>
          </w:p>
        </w:tc>
        <w:tc>
          <w:tcPr>
            <w:tcW w:w="2360" w:type="dxa"/>
            <w:vAlign w:val="bottom"/>
            <w:shd w:val="clear" w:color="auto" w:fill="1E3C73"/>
          </w:tcPr>
          <w:p>
            <w:pPr>
              <w:spacing w:after="0"/>
              <w:rPr>
                <w:sz w:val="24"/>
                <w:szCs w:val="24"/>
                <w:color w:val="auto"/>
              </w:rPr>
            </w:pPr>
          </w:p>
        </w:tc>
        <w:tc>
          <w:tcPr>
            <w:tcW w:w="7420" w:type="dxa"/>
            <w:vAlign w:val="bottom"/>
            <w:shd w:val="clear" w:color="auto" w:fill="1E3C73"/>
          </w:tcPr>
          <w:p>
            <w:pPr>
              <w:spacing w:after="0"/>
              <w:rPr>
                <w:sz w:val="24"/>
                <w:szCs w:val="24"/>
                <w:color w:val="auto"/>
              </w:rPr>
            </w:pPr>
          </w:p>
        </w:tc>
      </w:tr>
      <w:tr>
        <w:trPr>
          <w:trHeight w:val="297"/>
        </w:trPr>
        <w:tc>
          <w:tcPr>
            <w:tcW w:w="2880" w:type="dxa"/>
            <w:vAlign w:val="bottom"/>
            <w:gridSpan w:val="3"/>
            <w:shd w:val="clear" w:color="auto" w:fill="F4F4F4"/>
          </w:tcPr>
          <w:p>
            <w:pPr>
              <w:jc w:val="right"/>
              <w:ind w:right="2360"/>
              <w:spacing w:after="0"/>
              <w:rPr>
                <w:sz w:val="20"/>
                <w:szCs w:val="20"/>
                <w:color w:val="auto"/>
              </w:rPr>
            </w:pPr>
            <w:r>
              <w:rPr>
                <w:rFonts w:ascii="Times New Roman" w:cs="Times New Roman" w:eastAsia="Times New Roman" w:hAnsi="Times New Roman"/>
                <w:sz w:val="18"/>
                <w:szCs w:val="18"/>
                <w:color w:val="auto"/>
              </w:rPr>
              <w:t>[***]</w:t>
            </w:r>
          </w:p>
        </w:tc>
        <w:tc>
          <w:tcPr>
            <w:tcW w:w="7420" w:type="dxa"/>
            <w:vAlign w:val="bottom"/>
            <w:shd w:val="clear" w:color="auto" w:fill="F4F4F4"/>
          </w:tcPr>
          <w:p>
            <w:pPr>
              <w:jc w:val="right"/>
              <w:ind w:right="68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0" w:type="dxa"/>
            <w:vAlign w:val="bottom"/>
            <w:shd w:val="clear" w:color="auto" w:fill="F4F4F4"/>
          </w:tcPr>
          <w:p>
            <w:pPr>
              <w:spacing w:after="0"/>
              <w:rPr>
                <w:sz w:val="23"/>
                <w:szCs w:val="23"/>
                <w:color w:val="auto"/>
              </w:rPr>
            </w:pPr>
          </w:p>
        </w:tc>
        <w:tc>
          <w:tcPr>
            <w:tcW w:w="400" w:type="dxa"/>
            <w:vAlign w:val="bottom"/>
            <w:shd w:val="clear" w:color="auto" w:fill="F4F4F4"/>
          </w:tcPr>
          <w:p>
            <w:pPr>
              <w:spacing w:after="0"/>
              <w:rPr>
                <w:sz w:val="23"/>
                <w:szCs w:val="23"/>
                <w:color w:val="auto"/>
              </w:rPr>
            </w:pPr>
          </w:p>
        </w:tc>
        <w:tc>
          <w:tcPr>
            <w:tcW w:w="2360" w:type="dxa"/>
            <w:vAlign w:val="bottom"/>
            <w:shd w:val="clear" w:color="auto" w:fill="F4F4F4"/>
          </w:tcPr>
          <w:p>
            <w:pPr>
              <w:spacing w:after="0"/>
              <w:rPr>
                <w:sz w:val="23"/>
                <w:szCs w:val="23"/>
                <w:color w:val="auto"/>
              </w:rPr>
            </w:pPr>
          </w:p>
        </w:tc>
        <w:tc>
          <w:tcPr>
            <w:tcW w:w="7420" w:type="dxa"/>
            <w:vAlign w:val="bottom"/>
            <w:shd w:val="clear" w:color="auto" w:fill="F4F4F4"/>
          </w:tcPr>
          <w:p>
            <w:pPr>
              <w:spacing w:after="0"/>
              <w:rPr>
                <w:sz w:val="23"/>
                <w:szCs w:val="23"/>
                <w:color w:val="auto"/>
              </w:rPr>
            </w:pPr>
          </w:p>
        </w:tc>
      </w:tr>
      <w:tr>
        <w:trPr>
          <w:trHeight w:val="284"/>
        </w:trPr>
        <w:tc>
          <w:tcPr>
            <w:tcW w:w="2880" w:type="dxa"/>
            <w:vAlign w:val="bottom"/>
            <w:gridSpan w:val="3"/>
            <w:shd w:val="clear" w:color="auto" w:fill="F9F9F9"/>
          </w:tcPr>
          <w:p>
            <w:pPr>
              <w:jc w:val="right"/>
              <w:ind w:right="2360"/>
              <w:spacing w:after="0"/>
              <w:rPr>
                <w:sz w:val="20"/>
                <w:szCs w:val="20"/>
                <w:color w:val="auto"/>
              </w:rPr>
            </w:pPr>
            <w:r>
              <w:rPr>
                <w:rFonts w:ascii="Times New Roman" w:cs="Times New Roman" w:eastAsia="Times New Roman" w:hAnsi="Times New Roman"/>
                <w:sz w:val="18"/>
                <w:szCs w:val="18"/>
                <w:color w:val="auto"/>
              </w:rPr>
              <w:t>[***]</w:t>
            </w:r>
          </w:p>
        </w:tc>
        <w:tc>
          <w:tcPr>
            <w:tcW w:w="7420" w:type="dxa"/>
            <w:vAlign w:val="bottom"/>
            <w:shd w:val="clear" w:color="auto" w:fill="F9F9F9"/>
          </w:tcPr>
          <w:p>
            <w:pPr>
              <w:jc w:val="right"/>
              <w:ind w:right="6810"/>
              <w:spacing w:after="0"/>
              <w:rPr>
                <w:sz w:val="20"/>
                <w:szCs w:val="20"/>
                <w:color w:val="auto"/>
              </w:rPr>
            </w:pPr>
            <w:r>
              <w:rPr>
                <w:rFonts w:ascii="Times New Roman" w:cs="Times New Roman" w:eastAsia="Times New Roman" w:hAnsi="Times New Roman"/>
                <w:sz w:val="18"/>
                <w:szCs w:val="18"/>
                <w:color w:val="auto"/>
              </w:rPr>
              <w:t>[***]</w:t>
            </w:r>
          </w:p>
        </w:tc>
      </w:tr>
      <w:tr>
        <w:trPr>
          <w:trHeight w:val="513"/>
        </w:trPr>
        <w:tc>
          <w:tcPr>
            <w:tcW w:w="2880" w:type="dxa"/>
            <w:vAlign w:val="bottom"/>
            <w:gridSpan w:val="3"/>
            <w:shd w:val="clear" w:color="auto" w:fill="F9F9F9"/>
          </w:tcPr>
          <w:p>
            <w:pPr>
              <w:jc w:val="right"/>
              <w:ind w:right="2360"/>
              <w:spacing w:after="0"/>
              <w:rPr>
                <w:sz w:val="20"/>
                <w:szCs w:val="20"/>
                <w:color w:val="auto"/>
              </w:rPr>
            </w:pPr>
            <w:r>
              <w:rPr>
                <w:rFonts w:ascii="Times New Roman" w:cs="Times New Roman" w:eastAsia="Times New Roman" w:hAnsi="Times New Roman"/>
                <w:sz w:val="18"/>
                <w:szCs w:val="18"/>
                <w:color w:val="auto"/>
              </w:rPr>
              <w:t>[***]</w:t>
            </w:r>
          </w:p>
        </w:tc>
        <w:tc>
          <w:tcPr>
            <w:tcW w:w="7420" w:type="dxa"/>
            <w:vAlign w:val="bottom"/>
            <w:shd w:val="clear" w:color="auto" w:fill="F9F9F9"/>
          </w:tcPr>
          <w:p>
            <w:pPr>
              <w:jc w:val="right"/>
              <w:ind w:right="6810"/>
              <w:spacing w:after="0"/>
              <w:rPr>
                <w:sz w:val="20"/>
                <w:szCs w:val="20"/>
                <w:color w:val="auto"/>
              </w:rPr>
            </w:pPr>
            <w:r>
              <w:rPr>
                <w:rFonts w:ascii="Times New Roman" w:cs="Times New Roman" w:eastAsia="Times New Roman" w:hAnsi="Times New Roman"/>
                <w:sz w:val="18"/>
                <w:szCs w:val="18"/>
                <w:color w:val="auto"/>
              </w:rPr>
              <w:t>[***]</w:t>
            </w:r>
          </w:p>
        </w:tc>
      </w:tr>
      <w:tr>
        <w:trPr>
          <w:trHeight w:val="291"/>
        </w:trPr>
        <w:tc>
          <w:tcPr>
            <w:tcW w:w="120" w:type="dxa"/>
            <w:vAlign w:val="bottom"/>
            <w:tcBorders>
              <w:top w:val="single" w:sz="8" w:color="F9F9F9"/>
            </w:tcBorders>
            <w:shd w:val="clear" w:color="auto" w:fill="F9F9F9"/>
          </w:tcPr>
          <w:p>
            <w:pPr>
              <w:spacing w:after="0"/>
              <w:rPr>
                <w:sz w:val="24"/>
                <w:szCs w:val="24"/>
                <w:color w:val="auto"/>
              </w:rPr>
            </w:pPr>
          </w:p>
        </w:tc>
        <w:tc>
          <w:tcPr>
            <w:tcW w:w="400" w:type="dxa"/>
            <w:vAlign w:val="bottom"/>
            <w:tcBorders>
              <w:top w:val="single" w:sz="8" w:color="auto"/>
            </w:tcBorders>
            <w:shd w:val="clear" w:color="auto" w:fill="F9F9F9"/>
          </w:tcPr>
          <w:p>
            <w:pPr>
              <w:spacing w:after="0"/>
              <w:rPr>
                <w:sz w:val="24"/>
                <w:szCs w:val="24"/>
                <w:color w:val="auto"/>
              </w:rPr>
            </w:pPr>
          </w:p>
        </w:tc>
        <w:tc>
          <w:tcPr>
            <w:tcW w:w="2360" w:type="dxa"/>
            <w:vAlign w:val="bottom"/>
            <w:tcBorders>
              <w:top w:val="single" w:sz="8" w:color="F9F9F9"/>
            </w:tcBorders>
            <w:shd w:val="clear" w:color="auto" w:fill="F9F9F9"/>
          </w:tcPr>
          <w:p>
            <w:pPr>
              <w:spacing w:after="0"/>
              <w:rPr>
                <w:sz w:val="24"/>
                <w:szCs w:val="24"/>
                <w:color w:val="auto"/>
              </w:rPr>
            </w:pPr>
          </w:p>
        </w:tc>
        <w:tc>
          <w:tcPr>
            <w:tcW w:w="7420" w:type="dxa"/>
            <w:vAlign w:val="bottom"/>
            <w:tcBorders>
              <w:top w:val="single" w:sz="8" w:color="F9F9F9"/>
            </w:tcBorders>
            <w:shd w:val="clear" w:color="auto" w:fill="F9F9F9"/>
          </w:tcPr>
          <w:p>
            <w:pPr>
              <w:spacing w:after="0"/>
              <w:rPr>
                <w:sz w:val="24"/>
                <w:szCs w:val="24"/>
                <w:color w:val="auto"/>
              </w:rPr>
            </w:pPr>
          </w:p>
        </w:tc>
      </w:tr>
    </w:tbl>
    <w:p>
      <w:pPr>
        <w:ind w:left="660" w:hanging="652"/>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of the Participating Member States having opted for Option 1</w:t>
      </w:r>
    </w:p>
    <w:p>
      <w:pPr>
        <w:spacing w:after="0" w:line="220"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this Amendment, the rights and obligations of the Participating Member States under Option 1 shall remain unchanged and unaffected.</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of the Participating Member States having opted for Option 2</w:t>
      </w:r>
    </w:p>
    <w:p>
      <w:pPr>
        <w:spacing w:after="0" w:line="225" w:lineRule="exact"/>
        <w:rPr>
          <w:rFonts w:ascii="Times New Roman" w:cs="Times New Roman" w:eastAsia="Times New Roman" w:hAnsi="Times New Roman"/>
          <w:sz w:val="18"/>
          <w:szCs w:val="18"/>
          <w:color w:val="auto"/>
        </w:rPr>
      </w:pPr>
    </w:p>
    <w:p>
      <w:pPr>
        <w:ind w:left="1300" w:hanging="64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5.1.The contractor commits to deliver the updated volume of the Doses indicated in Annex I of this Amendment (“</w:t>
      </w:r>
      <w:r>
        <w:rPr>
          <w:rFonts w:ascii="Times New Roman" w:cs="Times New Roman" w:eastAsia="Times New Roman" w:hAnsi="Times New Roman"/>
          <w:sz w:val="18"/>
          <w:szCs w:val="18"/>
          <w:b w:val="1"/>
          <w:bCs w:val="1"/>
          <w:color w:val="auto"/>
        </w:rPr>
        <w:t>New Allocated Doses</w:t>
      </w:r>
      <w:r>
        <w:rPr>
          <w:rFonts w:ascii="Times New Roman" w:cs="Times New Roman" w:eastAsia="Times New Roman" w:hAnsi="Times New Roman"/>
          <w:sz w:val="18"/>
          <w:szCs w:val="18"/>
          <w:color w:val="auto"/>
        </w:rPr>
        <w:t>”) in accordance with the Delivery Schedule as set out under Article 3.3 of the Amendment.</w:t>
      </w:r>
    </w:p>
    <w:p>
      <w:pPr>
        <w:spacing w:after="0" w:line="1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of the Participating Member States having opted for Option 3</w:t>
      </w:r>
    </w:p>
    <w:p>
      <w:pPr>
        <w:spacing w:after="0" w:line="229" w:lineRule="exact"/>
        <w:rPr>
          <w:rFonts w:ascii="Times New Roman" w:cs="Times New Roman" w:eastAsia="Times New Roman" w:hAnsi="Times New Roman"/>
          <w:sz w:val="18"/>
          <w:szCs w:val="18"/>
          <w:color w:val="auto"/>
        </w:rPr>
      </w:pPr>
    </w:p>
    <w:p>
      <w:pPr>
        <w:ind w:left="130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6.1.For the purposes of this Amendment, Option 3 shall be considered as a justified termination due to the failure to meet one of the long stop dates described in Article II.16.1 of the APA.</w:t>
      </w:r>
    </w:p>
    <w:p>
      <w:pPr>
        <w:spacing w:after="0" w:line="161" w:lineRule="exact"/>
        <w:rPr>
          <w:rFonts w:ascii="Times New Roman" w:cs="Times New Roman" w:eastAsia="Times New Roman" w:hAnsi="Times New Roman"/>
          <w:sz w:val="18"/>
          <w:szCs w:val="18"/>
          <w:color w:val="auto"/>
        </w:rPr>
      </w:pPr>
    </w:p>
    <w:p>
      <w:pPr>
        <w:ind w:left="1300" w:right="2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6.2.The Participating Member States having opted for Option 3 will no longer be considered as a “Participating Member State” or a “Party” to the APA from the Amendment Effective Date.</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Options 2 and 3 as regards the Down Payments</w:t>
      </w:r>
    </w:p>
    <w:p>
      <w:pPr>
        <w:spacing w:after="0" w:line="229" w:lineRule="exact"/>
        <w:rPr>
          <w:rFonts w:ascii="Times New Roman" w:cs="Times New Roman" w:eastAsia="Times New Roman" w:hAnsi="Times New Roman"/>
          <w:sz w:val="18"/>
          <w:szCs w:val="18"/>
          <w:color w:val="auto"/>
        </w:rPr>
      </w:pPr>
    </w:p>
    <w:p>
      <w:pPr>
        <w:ind w:left="130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7.1.Within 30 days of the Amendment Effective Date, the contractor shall provide a Financial Statement to the Commission drawn up in accordance with Article II.16.5.b) of the APA describing the use of the Down Payments, for the purpose of assessing the entitlement of Participating Member States choosing Option 2 or Option 3 to the reimbursement of Unspent Amounts.</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9" w:name="page100"/>
    <w:bookmarkEnd w:id="99"/>
    <w:p>
      <w:pPr>
        <w:jc w:val="both"/>
        <w:ind w:firstLine="8"/>
        <w:spacing w:after="0" w:line="268" w:lineRule="auto"/>
        <w:tabs>
          <w:tab w:leader="none" w:pos="485"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83"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In accordance with provision of Article II.16.5.c) of the APA, the contractor will clarify whether any Refundable Items remain at its disposal and Parties will discuss in good faith the implementation of this provision with regard to the reduced volume of Doses.</w:t>
      </w:r>
    </w:p>
    <w:p>
      <w:pPr>
        <w:spacing w:after="0" w:line="158" w:lineRule="exact"/>
        <w:rPr>
          <w:sz w:val="20"/>
          <w:szCs w:val="20"/>
          <w:color w:val="auto"/>
        </w:rPr>
      </w:pPr>
    </w:p>
    <w:p>
      <w:pPr>
        <w:ind w:left="660" w:hanging="652"/>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Supply Option</w:t>
      </w:r>
    </w:p>
    <w:p>
      <w:pPr>
        <w:spacing w:after="0" w:line="22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I.4.4 of the APA relating to the 2023 Option is deleted. Nevertheless, the Remaining Member States shall have the option to purchase additional Doses under the following conditions:</w:t>
      </w:r>
    </w:p>
    <w:p>
      <w:pPr>
        <w:spacing w:after="0" w:line="161" w:lineRule="exact"/>
        <w:rPr>
          <w:rFonts w:ascii="Times New Roman" w:cs="Times New Roman" w:eastAsia="Times New Roman" w:hAnsi="Times New Roman"/>
          <w:sz w:val="18"/>
          <w:szCs w:val="18"/>
          <w:color w:val="auto"/>
        </w:rPr>
      </w:pPr>
    </w:p>
    <w:p>
      <w:pPr>
        <w:ind w:left="130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8.1.each Remaining Member State shall have the right, at its discretion, to purchase one additional Dose for each Dose purchased under Annex I of this Amendment (the "</w:t>
      </w:r>
      <w:r>
        <w:rPr>
          <w:rFonts w:ascii="Times New Roman" w:cs="Times New Roman" w:eastAsia="Times New Roman" w:hAnsi="Times New Roman"/>
          <w:sz w:val="18"/>
          <w:szCs w:val="18"/>
          <w:b w:val="1"/>
          <w:bCs w:val="1"/>
          <w:color w:val="auto"/>
        </w:rPr>
        <w:t>Additional Supply Option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8.2.a Remaining Member State electing to purchase additional Doses under the Additional Supply Option must notify its decision to contractor, at the latest on [***], by issuing a new Vaccine Order Form to this end;</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w:t>
      </w:r>
      <w:r>
        <w:rPr>
          <w:rFonts w:ascii="Times New Roman" w:cs="Times New Roman" w:eastAsia="Times New Roman" w:hAnsi="Times New Roman"/>
          <w:sz w:val="17"/>
          <w:szCs w:val="17"/>
          <w:color w:val="auto"/>
        </w:rPr>
        <w:t>such Doses shall be invoiced upon delivery and paid for in accordance with the APA;</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w:t>
      </w:r>
      <w:r>
        <w:rPr>
          <w:rFonts w:ascii="Times New Roman" w:cs="Times New Roman" w:eastAsia="Times New Roman" w:hAnsi="Times New Roman"/>
          <w:sz w:val="17"/>
          <w:szCs w:val="17"/>
          <w:color w:val="auto"/>
        </w:rPr>
        <w:t>[***]; and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8.5.the additional Doses ordered shall be delivered [***].</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Order of priority of provisions</w:t>
      </w:r>
    </w:p>
    <w:p>
      <w:pPr>
        <w:spacing w:after="0" w:line="229" w:lineRule="exact"/>
        <w:rPr>
          <w:rFonts w:ascii="Times New Roman" w:cs="Times New Roman" w:eastAsia="Times New Roman" w:hAnsi="Times New Roman"/>
          <w:sz w:val="18"/>
          <w:szCs w:val="18"/>
          <w:color w:val="auto"/>
        </w:rPr>
      </w:pPr>
    </w:p>
    <w:p>
      <w:pPr>
        <w:ind w:left="660" w:right="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any conflict between different provisions in the APA, as amended by this Amendment, the provisions set out in this Amendment take precedence over those in the APA.</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This Amendment shall be governed by the laws of [***].</w:t>
      </w:r>
    </w:p>
    <w:p>
      <w:pPr>
        <w:spacing w:after="0" w:line="22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For avoidance of doubt, Article I.10 (</w:t>
      </w:r>
      <w:r>
        <w:rPr>
          <w:rFonts w:ascii="Times New Roman" w:cs="Times New Roman" w:eastAsia="Times New Roman" w:hAnsi="Times New Roman"/>
          <w:sz w:val="17"/>
          <w:szCs w:val="17"/>
          <w:i w:val="1"/>
          <w:iCs w:val="1"/>
          <w:color w:val="auto"/>
        </w:rPr>
        <w:t>Applicable law and settlement of disputes</w:t>
      </w:r>
      <w:r>
        <w:rPr>
          <w:rFonts w:ascii="Times New Roman" w:cs="Times New Roman" w:eastAsia="Times New Roman" w:hAnsi="Times New Roman"/>
          <w:sz w:val="17"/>
          <w:szCs w:val="17"/>
          <w:color w:val="auto"/>
        </w:rPr>
        <w:t>) of the APA shall apply to this Amendment.</w:t>
      </w:r>
    </w:p>
    <w:p>
      <w:pPr>
        <w:spacing w:after="0" w:line="22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[Remainder of the page intentionally left blank. Signatures follow on the next page]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0" w:name="page101"/>
    <w:bookmarkEnd w:id="100"/>
    <w:p>
      <w:pPr>
        <w:jc w:val="both"/>
        <w:ind w:firstLine="8"/>
        <w:spacing w:after="0" w:line="268" w:lineRule="auto"/>
        <w:tabs>
          <w:tab w:leader="none" w:pos="485"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18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For the contractor</w:t>
            </w:r>
            <w:r>
              <w:rPr>
                <w:rFonts w:ascii="Times New Roman" w:cs="Times New Roman" w:eastAsia="Times New Roman" w:hAnsi="Times New Roman"/>
                <w:sz w:val="18"/>
                <w:szCs w:val="18"/>
                <w:color w:val="auto"/>
              </w:rPr>
              <w:t>,</w:t>
            </w:r>
          </w:p>
        </w:tc>
        <w:tc>
          <w:tcPr>
            <w:tcW w:w="6620" w:type="dxa"/>
            <w:vAlign w:val="bottom"/>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For the Commission, on behalf and in the name of the Participating</w:t>
            </w:r>
          </w:p>
        </w:tc>
        <w:tc>
          <w:tcPr>
            <w:tcW w:w="0" w:type="dxa"/>
            <w:vAlign w:val="bottom"/>
          </w:tcPr>
          <w:p>
            <w:pPr>
              <w:spacing w:after="0"/>
              <w:rPr>
                <w:sz w:val="1"/>
                <w:szCs w:val="1"/>
                <w:color w:val="auto"/>
              </w:rPr>
            </w:pPr>
          </w:p>
        </w:tc>
      </w:tr>
      <w:tr>
        <w:trPr>
          <w:trHeight w:val="238"/>
        </w:trPr>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6620" w:type="dxa"/>
            <w:vAlign w:val="bottom"/>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Member States,</w:t>
            </w:r>
          </w:p>
        </w:tc>
        <w:tc>
          <w:tcPr>
            <w:tcW w:w="0" w:type="dxa"/>
            <w:vAlign w:val="bottom"/>
          </w:tcPr>
          <w:p>
            <w:pPr>
              <w:spacing w:after="0"/>
              <w:rPr>
                <w:sz w:val="1"/>
                <w:szCs w:val="1"/>
                <w:color w:val="auto"/>
              </w:rPr>
            </w:pP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7"/>
              </w:rPr>
              <w:t>[***]</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Signature: /s/ [***]</w:t>
            </w:r>
          </w:p>
        </w:tc>
        <w:tc>
          <w:tcPr>
            <w:tcW w:w="66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Signature: /s/ [***]</w:t>
            </w:r>
          </w:p>
        </w:tc>
        <w:tc>
          <w:tcPr>
            <w:tcW w:w="0" w:type="dxa"/>
            <w:vAlign w:val="bottom"/>
          </w:tcPr>
          <w:p>
            <w:pPr>
              <w:spacing w:after="0"/>
              <w:rPr>
                <w:sz w:val="1"/>
                <w:szCs w:val="1"/>
                <w:color w:val="auto"/>
              </w:rPr>
            </w:pPr>
          </w:p>
        </w:tc>
      </w:tr>
      <w:tr>
        <w:trPr>
          <w:trHeight w:val="20"/>
        </w:trPr>
        <w:tc>
          <w:tcPr>
            <w:tcW w:w="4620" w:type="dxa"/>
            <w:vAlign w:val="bottom"/>
            <w:gridSpan w:val="4"/>
            <w:vMerge w:val="continu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4"/>
            <w:vMerge w:val="continue"/>
          </w:tcPr>
          <w:p>
            <w:pPr>
              <w:spacing w:after="0"/>
              <w:rPr>
                <w:sz w:val="17"/>
                <w:szCs w:val="17"/>
                <w:color w:val="auto"/>
              </w:rPr>
            </w:pPr>
          </w:p>
        </w:tc>
        <w:tc>
          <w:tcPr>
            <w:tcW w:w="6620" w:type="dxa"/>
            <w:vAlign w:val="bottom"/>
            <w:gridSpan w:val="3"/>
            <w:vMerge w:val="restart"/>
          </w:tcPr>
          <w:p>
            <w:pPr>
              <w:ind w:left="1020"/>
              <w:spacing w:after="0"/>
              <w:rPr>
                <w:sz w:val="20"/>
                <w:szCs w:val="20"/>
                <w:color w:val="auto"/>
              </w:rPr>
            </w:pPr>
            <w:r>
              <w:rPr>
                <w:rFonts w:ascii="Times New Roman" w:cs="Times New Roman" w:eastAsia="Times New Roman" w:hAnsi="Times New Roman"/>
                <w:sz w:val="18"/>
                <w:szCs w:val="18"/>
                <w:color w:val="auto"/>
              </w:rPr>
              <w:t>Done at [***]</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66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Done at [***]</w:t>
            </w:r>
          </w:p>
        </w:tc>
        <w:tc>
          <w:tcPr>
            <w:tcW w:w="66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4"/>
            <w:vMerge w:val="continue"/>
          </w:tcPr>
          <w:p>
            <w:pPr>
              <w:spacing w:after="0"/>
              <w:rPr>
                <w:sz w:val="18"/>
                <w:szCs w:val="18"/>
                <w:color w:val="auto"/>
              </w:rPr>
            </w:pPr>
          </w:p>
        </w:tc>
        <w:tc>
          <w:tcPr>
            <w:tcW w:w="18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w:t>
            </w:r>
          </w:p>
        </w:tc>
        <w:tc>
          <w:tcPr>
            <w:tcW w:w="18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Signature:</w:t>
            </w:r>
          </w:p>
        </w:tc>
        <w:tc>
          <w:tcPr>
            <w:tcW w:w="18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Done at [***] In duplicate in English.</w:t>
            </w:r>
          </w:p>
        </w:tc>
        <w:tc>
          <w:tcPr>
            <w:tcW w:w="18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color w:val="auto"/>
              </w:rPr>
              <w:t>Page 5 of 6</w:t>
            </w: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101" w:name="page102"/>
    <w:bookmarkEnd w:id="101"/>
    <w:p>
      <w:pPr>
        <w:jc w:val="both"/>
        <w:ind w:firstLine="8"/>
        <w:spacing w:after="0" w:line="268" w:lineRule="auto"/>
        <w:tabs>
          <w:tab w:leader="none" w:pos="485"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I: Participating Member States and allocated volumes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1720" w:type="dxa"/>
            <w:vAlign w:val="bottom"/>
            <w:tcBorders>
              <w:top w:val="single" w:sz="8" w:color="auto"/>
              <w:left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right w:val="single" w:sz="8" w:color="auto"/>
            </w:tcBorders>
            <w:shd w:val="clear" w:color="auto" w:fill="B4C6E7"/>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t>
            </w:r>
          </w:p>
        </w:tc>
        <w:tc>
          <w:tcPr>
            <w:tcW w:w="3800" w:type="dxa"/>
            <w:vAlign w:val="bottom"/>
            <w:tcBorders>
              <w:top w:val="single" w:sz="8" w:color="auto"/>
              <w:right w:val="single" w:sz="8" w:color="auto"/>
            </w:tcBorders>
            <w:shd w:val="clear" w:color="auto" w:fill="B4C6E7"/>
          </w:tcPr>
          <w:p>
            <w:pPr>
              <w:jc w:val="right"/>
              <w:ind w:right="325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top w:val="single" w:sz="8" w:color="auto"/>
              <w:left w:val="single" w:sz="8" w:color="auto"/>
              <w:right w:val="single" w:sz="8" w:color="auto"/>
            </w:tcBorders>
            <w:shd w:val="clear" w:color="auto" w:fill="B4C6E7"/>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w:t>
            </w:r>
          </w:p>
        </w:tc>
        <w:tc>
          <w:tcPr>
            <w:tcW w:w="2580" w:type="dxa"/>
            <w:vAlign w:val="bottom"/>
            <w:tcBorders>
              <w:top w:val="single" w:sz="8" w:color="auto"/>
              <w:right w:val="single" w:sz="8" w:color="auto"/>
            </w:tcBorders>
            <w:shd w:val="clear" w:color="auto" w:fill="B4C6E7"/>
          </w:tcPr>
          <w:p>
            <w:pPr>
              <w:jc w:val="right"/>
              <w:ind w:right="20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4"/>
        </w:trPr>
        <w:tc>
          <w:tcPr>
            <w:tcW w:w="1720" w:type="dxa"/>
            <w:vAlign w:val="bottom"/>
            <w:tcBorders>
              <w:left w:val="single" w:sz="8" w:color="auto"/>
              <w:bottom w:val="single" w:sz="8" w:color="auto"/>
              <w:right w:val="single" w:sz="8" w:color="auto"/>
            </w:tcBorders>
            <w:shd w:val="clear" w:color="auto" w:fill="B4C6E7"/>
          </w:tcPr>
          <w:p>
            <w:pPr>
              <w:spacing w:after="0"/>
              <w:rPr>
                <w:sz w:val="16"/>
                <w:szCs w:val="16"/>
                <w:color w:val="auto"/>
              </w:rPr>
            </w:pPr>
          </w:p>
        </w:tc>
        <w:tc>
          <w:tcPr>
            <w:tcW w:w="1480" w:type="dxa"/>
            <w:vAlign w:val="bottom"/>
            <w:tcBorders>
              <w:bottom w:val="single" w:sz="8" w:color="auto"/>
              <w:right w:val="single" w:sz="8" w:color="auto"/>
            </w:tcBorders>
            <w:shd w:val="clear" w:color="auto" w:fill="B4C6E7"/>
          </w:tcPr>
          <w:p>
            <w:pPr>
              <w:spacing w:after="0"/>
              <w:rPr>
                <w:sz w:val="16"/>
                <w:szCs w:val="16"/>
                <w:color w:val="auto"/>
              </w:rPr>
            </w:pPr>
          </w:p>
        </w:tc>
        <w:tc>
          <w:tcPr>
            <w:tcW w:w="3800" w:type="dxa"/>
            <w:vAlign w:val="bottom"/>
            <w:tcBorders>
              <w:bottom w:val="single" w:sz="8" w:color="auto"/>
              <w:right w:val="single" w:sz="8" w:color="auto"/>
            </w:tcBorders>
            <w:shd w:val="clear" w:color="auto" w:fill="B4C6E7"/>
          </w:tcPr>
          <w:p>
            <w:pPr>
              <w:spacing w:after="0"/>
              <w:rPr>
                <w:sz w:val="16"/>
                <w:szCs w:val="16"/>
                <w:color w:val="auto"/>
              </w:rPr>
            </w:pPr>
          </w:p>
        </w:tc>
        <w:tc>
          <w:tcPr>
            <w:tcW w:w="1660" w:type="dxa"/>
            <w:vAlign w:val="bottom"/>
            <w:tcBorders>
              <w:left w:val="single" w:sz="8" w:color="auto"/>
              <w:bottom w:val="single" w:sz="8" w:color="auto"/>
              <w:right w:val="single" w:sz="8" w:color="auto"/>
            </w:tcBorders>
            <w:shd w:val="clear" w:color="auto" w:fill="B4C6E7"/>
          </w:tcPr>
          <w:p>
            <w:pPr>
              <w:spacing w:after="0"/>
              <w:rPr>
                <w:sz w:val="16"/>
                <w:szCs w:val="16"/>
                <w:color w:val="auto"/>
              </w:rPr>
            </w:pPr>
          </w:p>
        </w:tc>
        <w:tc>
          <w:tcPr>
            <w:tcW w:w="2580" w:type="dxa"/>
            <w:vAlign w:val="bottom"/>
            <w:tcBorders>
              <w:bottom w:val="single" w:sz="8" w:color="auto"/>
              <w:right w:val="single" w:sz="8" w:color="auto"/>
            </w:tcBorders>
            <w:shd w:val="clear" w:color="auto" w:fill="B4C6E7"/>
          </w:tcPr>
          <w:p>
            <w:pPr>
              <w:spacing w:after="0"/>
              <w:rPr>
                <w:sz w:val="16"/>
                <w:szCs w:val="16"/>
                <w:color w:val="auto"/>
              </w:rPr>
            </w:pPr>
          </w:p>
        </w:tc>
      </w:tr>
      <w:tr>
        <w:trPr>
          <w:trHeight w:val="209"/>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BFBFBF"/>
            </w:tcBorders>
            <w:shd w:val="clear" w:color="auto" w:fill="BFBFBF"/>
          </w:tcPr>
          <w:p>
            <w:pPr>
              <w:spacing w:after="0"/>
              <w:rPr>
                <w:sz w:val="18"/>
                <w:szCs w:val="18"/>
                <w:color w:val="auto"/>
              </w:rPr>
            </w:pPr>
          </w:p>
        </w:tc>
        <w:tc>
          <w:tcPr>
            <w:tcW w:w="3800" w:type="dxa"/>
            <w:vAlign w:val="bottom"/>
            <w:tcBorders>
              <w:bottom w:val="single" w:sz="8" w:color="auto"/>
              <w:right w:val="single" w:sz="8" w:color="BFBFBF"/>
            </w:tcBorders>
            <w:shd w:val="clear" w:color="auto" w:fill="BFBFBF"/>
          </w:tcPr>
          <w:p>
            <w:pPr>
              <w:spacing w:after="0"/>
              <w:rPr>
                <w:sz w:val="18"/>
                <w:szCs w:val="18"/>
                <w:color w:val="auto"/>
              </w:rPr>
            </w:pPr>
          </w:p>
        </w:tc>
        <w:tc>
          <w:tcPr>
            <w:tcW w:w="1660" w:type="dxa"/>
            <w:vAlign w:val="bottom"/>
            <w:tcBorders>
              <w:left w:val="single" w:sz="8" w:color="BFBFBF"/>
              <w:bottom w:val="single" w:sz="8" w:color="auto"/>
              <w:right w:val="single" w:sz="8" w:color="BFBFBF"/>
            </w:tcBorders>
            <w:shd w:val="clear" w:color="auto" w:fill="BFBFBF"/>
          </w:tcPr>
          <w:p>
            <w:pPr>
              <w:spacing w:after="0"/>
              <w:rPr>
                <w:sz w:val="18"/>
                <w:szCs w:val="18"/>
                <w:color w:val="auto"/>
              </w:rPr>
            </w:pPr>
          </w:p>
        </w:tc>
        <w:tc>
          <w:tcPr>
            <w:tcW w:w="2580" w:type="dxa"/>
            <w:vAlign w:val="bottom"/>
            <w:tcBorders>
              <w:bottom w:val="single" w:sz="8" w:color="auto"/>
              <w:right w:val="single" w:sz="8" w:color="auto"/>
            </w:tcBorders>
            <w:shd w:val="clear" w:color="auto" w:fill="BFBFB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BFBFBF"/>
            </w:tcBorders>
            <w:shd w:val="clear" w:color="auto" w:fill="BFBFBF"/>
          </w:tcPr>
          <w:p>
            <w:pPr>
              <w:spacing w:after="0"/>
              <w:rPr>
                <w:sz w:val="18"/>
                <w:szCs w:val="18"/>
                <w:color w:val="auto"/>
              </w:rPr>
            </w:pPr>
          </w:p>
        </w:tc>
        <w:tc>
          <w:tcPr>
            <w:tcW w:w="3800" w:type="dxa"/>
            <w:vAlign w:val="bottom"/>
            <w:tcBorders>
              <w:bottom w:val="single" w:sz="8" w:color="auto"/>
              <w:right w:val="single" w:sz="8" w:color="BFBFBF"/>
            </w:tcBorders>
            <w:shd w:val="clear" w:color="auto" w:fill="BFBFBF"/>
          </w:tcPr>
          <w:p>
            <w:pPr>
              <w:spacing w:after="0"/>
              <w:rPr>
                <w:sz w:val="18"/>
                <w:szCs w:val="18"/>
                <w:color w:val="auto"/>
              </w:rPr>
            </w:pPr>
          </w:p>
        </w:tc>
        <w:tc>
          <w:tcPr>
            <w:tcW w:w="1660" w:type="dxa"/>
            <w:vAlign w:val="bottom"/>
            <w:tcBorders>
              <w:left w:val="single" w:sz="8" w:color="BFBFBF"/>
              <w:bottom w:val="single" w:sz="8" w:color="auto"/>
              <w:right w:val="single" w:sz="8" w:color="BFBFBF"/>
            </w:tcBorders>
            <w:shd w:val="clear" w:color="auto" w:fill="BFBFBF"/>
          </w:tcPr>
          <w:p>
            <w:pPr>
              <w:spacing w:after="0"/>
              <w:rPr>
                <w:sz w:val="18"/>
                <w:szCs w:val="18"/>
                <w:color w:val="auto"/>
              </w:rPr>
            </w:pPr>
          </w:p>
        </w:tc>
        <w:tc>
          <w:tcPr>
            <w:tcW w:w="2580" w:type="dxa"/>
            <w:vAlign w:val="bottom"/>
            <w:tcBorders>
              <w:bottom w:val="single" w:sz="8" w:color="auto"/>
              <w:right w:val="single" w:sz="8" w:color="auto"/>
            </w:tcBorders>
            <w:shd w:val="clear" w:color="auto" w:fill="BFBFB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BFBFBF"/>
            </w:tcBorders>
            <w:shd w:val="clear" w:color="auto" w:fill="BFBFBF"/>
          </w:tcPr>
          <w:p>
            <w:pPr>
              <w:spacing w:after="0"/>
              <w:rPr>
                <w:sz w:val="18"/>
                <w:szCs w:val="18"/>
                <w:color w:val="auto"/>
              </w:rPr>
            </w:pPr>
          </w:p>
        </w:tc>
        <w:tc>
          <w:tcPr>
            <w:tcW w:w="3800" w:type="dxa"/>
            <w:vAlign w:val="bottom"/>
            <w:tcBorders>
              <w:bottom w:val="single" w:sz="8" w:color="auto"/>
              <w:right w:val="single" w:sz="8" w:color="BFBFBF"/>
            </w:tcBorders>
            <w:shd w:val="clear" w:color="auto" w:fill="BFBFBF"/>
          </w:tcPr>
          <w:p>
            <w:pPr>
              <w:spacing w:after="0"/>
              <w:rPr>
                <w:sz w:val="18"/>
                <w:szCs w:val="18"/>
                <w:color w:val="auto"/>
              </w:rPr>
            </w:pPr>
          </w:p>
        </w:tc>
        <w:tc>
          <w:tcPr>
            <w:tcW w:w="1660" w:type="dxa"/>
            <w:vAlign w:val="bottom"/>
            <w:tcBorders>
              <w:left w:val="single" w:sz="8" w:color="BFBFBF"/>
              <w:bottom w:val="single" w:sz="8" w:color="auto"/>
              <w:right w:val="single" w:sz="8" w:color="BFBFBF"/>
            </w:tcBorders>
            <w:shd w:val="clear" w:color="auto" w:fill="BFBFBF"/>
          </w:tcPr>
          <w:p>
            <w:pPr>
              <w:spacing w:after="0"/>
              <w:rPr>
                <w:sz w:val="18"/>
                <w:szCs w:val="18"/>
                <w:color w:val="auto"/>
              </w:rPr>
            </w:pPr>
          </w:p>
        </w:tc>
        <w:tc>
          <w:tcPr>
            <w:tcW w:w="2580" w:type="dxa"/>
            <w:vAlign w:val="bottom"/>
            <w:tcBorders>
              <w:bottom w:val="single" w:sz="8" w:color="auto"/>
              <w:right w:val="single" w:sz="8" w:color="auto"/>
            </w:tcBorders>
            <w:shd w:val="clear" w:color="auto" w:fill="BFBFB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BFBFBF"/>
            </w:tcBorders>
            <w:shd w:val="clear" w:color="auto" w:fill="BFBFBF"/>
          </w:tcPr>
          <w:p>
            <w:pPr>
              <w:spacing w:after="0"/>
              <w:rPr>
                <w:sz w:val="18"/>
                <w:szCs w:val="18"/>
                <w:color w:val="auto"/>
              </w:rPr>
            </w:pPr>
          </w:p>
        </w:tc>
        <w:tc>
          <w:tcPr>
            <w:tcW w:w="3800" w:type="dxa"/>
            <w:vAlign w:val="bottom"/>
            <w:tcBorders>
              <w:bottom w:val="single" w:sz="8" w:color="auto"/>
              <w:right w:val="single" w:sz="8" w:color="BFBFBF"/>
            </w:tcBorders>
            <w:shd w:val="clear" w:color="auto" w:fill="BFBFBF"/>
          </w:tcPr>
          <w:p>
            <w:pPr>
              <w:spacing w:after="0"/>
              <w:rPr>
                <w:sz w:val="18"/>
                <w:szCs w:val="18"/>
                <w:color w:val="auto"/>
              </w:rPr>
            </w:pPr>
          </w:p>
        </w:tc>
        <w:tc>
          <w:tcPr>
            <w:tcW w:w="1660" w:type="dxa"/>
            <w:vAlign w:val="bottom"/>
            <w:tcBorders>
              <w:left w:val="single" w:sz="8" w:color="BFBFBF"/>
              <w:bottom w:val="single" w:sz="8" w:color="auto"/>
              <w:right w:val="single" w:sz="8" w:color="BFBFBF"/>
            </w:tcBorders>
            <w:shd w:val="clear" w:color="auto" w:fill="BFBFBF"/>
          </w:tcPr>
          <w:p>
            <w:pPr>
              <w:spacing w:after="0"/>
              <w:rPr>
                <w:sz w:val="18"/>
                <w:szCs w:val="18"/>
                <w:color w:val="auto"/>
              </w:rPr>
            </w:pPr>
          </w:p>
        </w:tc>
        <w:tc>
          <w:tcPr>
            <w:tcW w:w="2580" w:type="dxa"/>
            <w:vAlign w:val="bottom"/>
            <w:tcBorders>
              <w:bottom w:val="single" w:sz="8" w:color="auto"/>
              <w:right w:val="single" w:sz="8" w:color="auto"/>
            </w:tcBorders>
            <w:shd w:val="clear" w:color="auto" w:fill="BFBFB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BFBFBF"/>
            </w:tcBorders>
            <w:shd w:val="clear" w:color="auto" w:fill="BFBFBF"/>
          </w:tcPr>
          <w:p>
            <w:pPr>
              <w:spacing w:after="0"/>
              <w:rPr>
                <w:sz w:val="18"/>
                <w:szCs w:val="18"/>
                <w:color w:val="auto"/>
              </w:rPr>
            </w:pPr>
          </w:p>
        </w:tc>
        <w:tc>
          <w:tcPr>
            <w:tcW w:w="3800" w:type="dxa"/>
            <w:vAlign w:val="bottom"/>
            <w:tcBorders>
              <w:bottom w:val="single" w:sz="8" w:color="auto"/>
              <w:right w:val="single" w:sz="8" w:color="BFBFBF"/>
            </w:tcBorders>
            <w:shd w:val="clear" w:color="auto" w:fill="BFBFBF"/>
          </w:tcPr>
          <w:p>
            <w:pPr>
              <w:spacing w:after="0"/>
              <w:rPr>
                <w:sz w:val="18"/>
                <w:szCs w:val="18"/>
                <w:color w:val="auto"/>
              </w:rPr>
            </w:pPr>
          </w:p>
        </w:tc>
        <w:tc>
          <w:tcPr>
            <w:tcW w:w="1660" w:type="dxa"/>
            <w:vAlign w:val="bottom"/>
            <w:tcBorders>
              <w:left w:val="single" w:sz="8" w:color="BFBFBF"/>
              <w:bottom w:val="single" w:sz="8" w:color="auto"/>
              <w:right w:val="single" w:sz="8" w:color="BFBFBF"/>
            </w:tcBorders>
            <w:shd w:val="clear" w:color="auto" w:fill="BFBFBF"/>
          </w:tcPr>
          <w:p>
            <w:pPr>
              <w:spacing w:after="0"/>
              <w:rPr>
                <w:sz w:val="18"/>
                <w:szCs w:val="18"/>
                <w:color w:val="auto"/>
              </w:rPr>
            </w:pPr>
          </w:p>
        </w:tc>
        <w:tc>
          <w:tcPr>
            <w:tcW w:w="2580" w:type="dxa"/>
            <w:vAlign w:val="bottom"/>
            <w:tcBorders>
              <w:bottom w:val="single" w:sz="8" w:color="auto"/>
              <w:right w:val="single" w:sz="8" w:color="auto"/>
            </w:tcBorders>
            <w:shd w:val="clear" w:color="auto" w:fill="BFBFB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BFBFBF"/>
            </w:tcBorders>
            <w:shd w:val="clear" w:color="auto" w:fill="BFBFBF"/>
          </w:tcPr>
          <w:p>
            <w:pPr>
              <w:spacing w:after="0"/>
              <w:rPr>
                <w:sz w:val="18"/>
                <w:szCs w:val="18"/>
                <w:color w:val="auto"/>
              </w:rPr>
            </w:pPr>
          </w:p>
        </w:tc>
        <w:tc>
          <w:tcPr>
            <w:tcW w:w="3800" w:type="dxa"/>
            <w:vAlign w:val="bottom"/>
            <w:tcBorders>
              <w:bottom w:val="single" w:sz="8" w:color="auto"/>
              <w:right w:val="single" w:sz="8" w:color="BFBFBF"/>
            </w:tcBorders>
            <w:shd w:val="clear" w:color="auto" w:fill="BFBFBF"/>
          </w:tcPr>
          <w:p>
            <w:pPr>
              <w:spacing w:after="0"/>
              <w:rPr>
                <w:sz w:val="18"/>
                <w:szCs w:val="18"/>
                <w:color w:val="auto"/>
              </w:rPr>
            </w:pPr>
          </w:p>
        </w:tc>
        <w:tc>
          <w:tcPr>
            <w:tcW w:w="1660" w:type="dxa"/>
            <w:vAlign w:val="bottom"/>
            <w:tcBorders>
              <w:left w:val="single" w:sz="8" w:color="BFBFBF"/>
              <w:bottom w:val="single" w:sz="8" w:color="auto"/>
              <w:right w:val="single" w:sz="8" w:color="BFBFBF"/>
            </w:tcBorders>
            <w:shd w:val="clear" w:color="auto" w:fill="BFBFBF"/>
          </w:tcPr>
          <w:p>
            <w:pPr>
              <w:spacing w:after="0"/>
              <w:rPr>
                <w:sz w:val="18"/>
                <w:szCs w:val="18"/>
                <w:color w:val="auto"/>
              </w:rPr>
            </w:pPr>
          </w:p>
        </w:tc>
        <w:tc>
          <w:tcPr>
            <w:tcW w:w="2580" w:type="dxa"/>
            <w:vAlign w:val="bottom"/>
            <w:tcBorders>
              <w:bottom w:val="single" w:sz="8" w:color="auto"/>
              <w:right w:val="single" w:sz="8" w:color="auto"/>
            </w:tcBorders>
            <w:shd w:val="clear" w:color="auto" w:fill="BFBFB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spacing w:after="0"/>
              <w:rPr>
                <w:sz w:val="18"/>
                <w:szCs w:val="18"/>
                <w:color w:val="auto"/>
              </w:rPr>
            </w:pPr>
          </w:p>
        </w:tc>
      </w:tr>
      <w:tr>
        <w:trPr>
          <w:trHeight w:val="210"/>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spacing w:after="0"/>
              <w:rPr>
                <w:sz w:val="18"/>
                <w:szCs w:val="18"/>
                <w:color w:val="auto"/>
              </w:rPr>
            </w:pPr>
          </w:p>
        </w:tc>
      </w:tr>
      <w:tr>
        <w:trPr>
          <w:trHeight w:val="210"/>
        </w:trPr>
        <w:tc>
          <w:tcPr>
            <w:tcW w:w="1720" w:type="dxa"/>
            <w:vAlign w:val="bottom"/>
            <w:tcBorders>
              <w:left w:val="single" w:sz="8" w:color="auto"/>
              <w:bottom w:val="single" w:sz="8" w:color="auto"/>
              <w:right w:val="single" w:sz="8" w:color="auto"/>
            </w:tcBorders>
            <w:shd w:val="clear" w:color="auto" w:fill="B4C6E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shd w:val="clear" w:color="auto" w:fill="E2EFD9"/>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Valneva SE 6-K</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42" w:lineRule="exact"/>
        <w:rPr>
          <w:sz w:val="20"/>
          <w:szCs w:val="20"/>
          <w:color w:val="auto"/>
        </w:rPr>
      </w:pPr>
    </w:p>
    <w:p>
      <w:pPr>
        <w:jc w:val="both"/>
        <w:ind w:firstLine="8"/>
        <w:spacing w:after="0" w:line="268" w:lineRule="auto"/>
        <w:tabs>
          <w:tab w:leader="none" w:pos="485"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Research Collaboration and License Agreement</w:t>
      </w:r>
    </w:p>
    <w:p>
      <w:pPr>
        <w:sectPr>
          <w:pgSz w:w="11900" w:h="16838" w:orient="portrait"/>
          <w:cols w:equalWidth="0" w:num="1">
            <w:col w:w="11240"/>
          </w:cols>
          <w:pgMar w:left="320" w:top="162" w:right="339" w:bottom="1440" w:gutter="0" w:footer="0" w:header="0"/>
        </w:sectPr>
      </w:pP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Amendment No. 1 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July 14, 2021</w:t>
      </w:r>
    </w:p>
    <w:p>
      <w:pPr>
        <w:spacing w:after="0" w:line="200" w:lineRule="exact"/>
        <w:rPr>
          <w:sz w:val="20"/>
          <w:szCs w:val="20"/>
          <w:color w:val="auto"/>
        </w:rPr>
      </w:pPr>
    </w:p>
    <w:p>
      <w:pPr>
        <w:sectPr>
          <w:pgSz w:w="11900" w:h="16838" w:orient="portrait"/>
          <w:cols w:equalWidth="0" w:num="2">
            <w:col w:w="4340" w:space="720"/>
            <w:col w:w="6180"/>
          </w:cols>
          <w:pgMar w:left="320" w:top="162" w:right="339" w:bottom="1440" w:gutter="0" w:footer="0" w:header="0"/>
          <w:type w:val="continuous"/>
        </w:sectPr>
      </w:pPr>
    </w:p>
    <w:p>
      <w:pPr>
        <w:spacing w:after="0" w:line="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Name of Original Agreement: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Research Collaboration and License Agreement (the “License Agreement”) (the “Original Agreement,” and together with any previous amendments which may be described below, the “Agreement”)</w:t>
      </w:r>
    </w:p>
    <w:p>
      <w:pPr>
        <w:spacing w:after="0" w:line="172" w:lineRule="exact"/>
        <w:rPr>
          <w:sz w:val="20"/>
          <w:szCs w:val="20"/>
          <w:color w:val="auto"/>
        </w:rPr>
      </w:pPr>
    </w:p>
    <w:p>
      <w:pPr>
        <w:sectPr>
          <w:pgSz w:w="11900" w:h="16838" w:orient="portrait"/>
          <w:cols w:equalWidth="0" w:num="2">
            <w:col w:w="4340" w:space="720"/>
            <w:col w:w="6180"/>
          </w:cols>
          <w:pgMar w:left="320" w:top="162"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b w:val="1"/>
          <w:bCs w:val="1"/>
          <w:color w:val="auto"/>
        </w:rPr>
        <w:t>Effective Date of Original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April 29, 2020 (“Effective Date”)</w:t>
      </w:r>
    </w:p>
    <w:p>
      <w:pPr>
        <w:spacing w:after="0" w:line="200" w:lineRule="exact"/>
        <w:rPr>
          <w:sz w:val="20"/>
          <w:szCs w:val="20"/>
          <w:color w:val="auto"/>
        </w:rPr>
      </w:pPr>
    </w:p>
    <w:p>
      <w:pPr>
        <w:sectPr>
          <w:pgSz w:w="11900" w:h="16838" w:orient="portrait"/>
          <w:cols w:equalWidth="0" w:num="2">
            <w:col w:w="4340" w:space="720"/>
            <w:col w:w="6180"/>
          </w:cols>
          <w:pgMar w:left="320" w:top="162" w:right="339" w:bottom="1440" w:gutter="0" w:footer="0" w:header="0"/>
          <w:type w:val="continuous"/>
        </w:sectPr>
      </w:pPr>
    </w:p>
    <w:p>
      <w:pPr>
        <w:spacing w:after="0" w:line="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Pfizer Inc. (“Pfizer”) and Valneva Austria GmbH (“Valneva”)</w:t>
      </w:r>
    </w:p>
    <w:p>
      <w:pPr>
        <w:spacing w:after="0" w:line="207" w:lineRule="exact"/>
        <w:rPr>
          <w:sz w:val="20"/>
          <w:szCs w:val="20"/>
          <w:color w:val="auto"/>
        </w:rPr>
      </w:pPr>
    </w:p>
    <w:p>
      <w:pPr>
        <w:sectPr>
          <w:pgSz w:w="11900" w:h="16838" w:orient="portrait"/>
          <w:cols w:equalWidth="0" w:num="2">
            <w:col w:w="4340" w:space="720"/>
            <w:col w:w="6180"/>
          </w:cols>
          <w:pgMar w:left="320" w:top="162" w:right="339" w:bottom="1440" w:gutter="0" w:footer="0" w:header="0"/>
          <w:type w:val="continuous"/>
        </w:sectPr>
      </w:pP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Dates of Previous Amendment(s):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ectPr>
          <w:pgSz w:w="11900" w:h="16838" w:orient="portrait"/>
          <w:cols w:equalWidth="0" w:num="2">
            <w:col w:w="4340" w:space="720"/>
            <w:col w:w="6180"/>
          </w:cols>
          <w:pgMar w:left="320" w:top="162" w:right="339" w:bottom="1440" w:gutter="0" w:footer="0" w:header="0"/>
          <w:type w:val="continuous"/>
        </w:sectPr>
      </w:pPr>
    </w:p>
    <w:p>
      <w:pPr>
        <w:spacing w:after="0" w:line="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WHEREAS, the parties hereto desire to amend, among other things, certain terms of the Agreement including to provide for the transfer of Pfizer Materials to Valneva to support Development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order to accommodate the desired amendment(s), the parties hereby agree as follows:</w:t>
      </w:r>
    </w:p>
    <w:p>
      <w:pPr>
        <w:spacing w:after="0" w:line="225" w:lineRule="exact"/>
        <w:rPr>
          <w:sz w:val="20"/>
          <w:szCs w:val="20"/>
          <w:color w:val="auto"/>
        </w:rPr>
      </w:pPr>
    </w:p>
    <w:p>
      <w:pPr>
        <w:ind w:left="340" w:hanging="332"/>
        <w:spacing w:after="0"/>
        <w:tabs>
          <w:tab w:leader="none" w:pos="3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used but not defined herein shall have the respective meanings ascribed to such terms in the Agreement.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the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Section 1 of the Agreement is hereby amended to add new definitions 1.103 Pfizer Materials as follows:</w:t>
      </w:r>
    </w:p>
    <w:p>
      <w:pPr>
        <w:spacing w:after="0" w:line="221"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1.103 “</w:t>
      </w:r>
      <w:r>
        <w:rPr>
          <w:rFonts w:ascii="Times New Roman" w:cs="Times New Roman" w:eastAsia="Times New Roman" w:hAnsi="Times New Roman"/>
          <w:sz w:val="18"/>
          <w:szCs w:val="18"/>
          <w:b w:val="1"/>
          <w:bCs w:val="1"/>
          <w:color w:val="auto"/>
        </w:rPr>
        <w:t>Pfizer Materials</w:t>
      </w:r>
      <w:r>
        <w:rPr>
          <w:rFonts w:ascii="Times New Roman" w:cs="Times New Roman" w:eastAsia="Times New Roman" w:hAnsi="Times New Roman"/>
          <w:sz w:val="18"/>
          <w:szCs w:val="18"/>
          <w:color w:val="auto"/>
        </w:rPr>
        <w:t>” means the OspA Humabs (human monoclonal B cell antibodies), and non-human primate sera (including in all cases, without limitation, derivatives, progeny, conjugates, compositions, formulations, salts, prodrugs, metabolites, polymorphs, and isomers thereof), together with all reagents, chemical compounds, biological materials or other materials, which are provided by Pfizer to Valneva pursuant to or otherwise in connection with the Agreement.</w:t>
      </w:r>
    </w:p>
    <w:p>
      <w:pPr>
        <w:spacing w:after="0" w:line="180" w:lineRule="exact"/>
        <w:rPr>
          <w:sz w:val="20"/>
          <w:szCs w:val="20"/>
          <w:color w:val="auto"/>
        </w:rPr>
      </w:pPr>
    </w:p>
    <w:p>
      <w:pPr>
        <w:ind w:left="660" w:right="4700" w:hanging="328"/>
        <w:spacing w:after="0" w:line="500"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4 of the Agreement is hereby amended to add new Section 4.5 as follows: 4.5. </w:t>
      </w:r>
      <w:r>
        <w:rPr>
          <w:rFonts w:ascii="Times New Roman" w:cs="Times New Roman" w:eastAsia="Times New Roman" w:hAnsi="Times New Roman"/>
          <w:sz w:val="18"/>
          <w:szCs w:val="18"/>
          <w:b w:val="1"/>
          <w:bCs w:val="1"/>
          <w:color w:val="auto"/>
        </w:rPr>
        <w:t>Transfer and Use of Pfizer Materials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4.5.1 Transfer. From time to time, pursuant to the Development Plan, or otherwise, Pfizer may provide Valneva with Pfizer Materials for use in the Development Plan. The Pfizer Materials are provided on an “as-is” basis without representation or warranty of any type, express or implied, including any representation or warranty of merchantability, non-infringement, title or fitness for a particular purpose, each of which is hereby disclaimed by such providing Party.</w:t>
      </w:r>
    </w:p>
    <w:p>
      <w:pPr>
        <w:spacing w:after="0" w:line="180"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4.5.2 Use of Pfizer Materials. Valneva shall use the Pfizer Materials solely in connection with conducting the specific activities under the Development Plan for which the Pfizer Materials are being provided and for no other purpose. Without limiting the generality of the foregoing, except as expressly set forth in this Agreement, Valneva shall not make or attempt to make analogues, progeny or derivatives of, or modifications to, the Pfizer Materials, and Valneva shall not use the Pfizer Materials for the benefit of any Third Party or of its own internal research programs outside of the Development Program. Valneva shall not administer any of the Pfizer Materials to any human. Valneva shall comply with all Applicable Laws regarding the handling and use of the Pfizer Materials. Each Party agrees to retain possession over the other Party’s Proprietary Materials and not to provide the Pfizer Materials to any Third Party without Pfizer’s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103" w:name="page104"/>
    <w:bookmarkEnd w:id="103"/>
    <w:p>
      <w:pPr>
        <w:jc w:val="both"/>
        <w:ind w:firstLine="8"/>
        <w:spacing w:after="0" w:line="268" w:lineRule="auto"/>
        <w:tabs>
          <w:tab w:leader="none" w:pos="485"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83"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4.5.3 Unauthorized Use of Pfizer Materials. The Parties acknowledge and agree that all results from the use of the Pfizer Materials shall be Development Program Know-How and Development Program Patent Rights. In the event that Valneva uses the Pfizer Materials for any purpose other than the purposes authorized herein, the results of such unauthorized research, and any discoveries or inventions that arise from such unauthorized research, whether patentable or not, shall belong solely and exclusively to Pfizer. If required in order to perfect or enforce Pfizer’s ownership of such results, discoveries or inventions, each hereby assigns and agrees to assign to Pfizer all of its right, title and interest in and to all such results, discoveries or inventions made through unauthorized research. Valneva hereby agrees to cooperate with Pfizer, and to execute and deliver any and all documents that Pfizer reasonably deems necessary, to perfect and enforce its rights hereunder.</w:t>
      </w:r>
    </w:p>
    <w:p>
      <w:pPr>
        <w:spacing w:after="0" w:line="189"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4.5.4 Title to Pfizer Materials. All right, title and interest in the Pfizer Materials shall remain the sole property of Pfizer notwithstanding the transfer to and use by Valneva of the same.</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4.5.5 Return of Pfizer Materials. Upon completion of the activities for which the Pfizer Materials have been provided, or upon expiration or termination of the Agreement, if earlier, Valneva shall, at Pfizer’s option, either destroy or return to Pfizer all unused Pfizer Materials.</w:t>
      </w:r>
    </w:p>
    <w:p>
      <w:pPr>
        <w:spacing w:after="0" w:line="162" w:lineRule="exact"/>
        <w:rPr>
          <w:sz w:val="20"/>
          <w:szCs w:val="20"/>
          <w:color w:val="auto"/>
        </w:rPr>
      </w:pPr>
    </w:p>
    <w:p>
      <w:pPr>
        <w:jc w:val="both"/>
        <w:ind w:left="340" w:hanging="332"/>
        <w:spacing w:after="0" w:line="266" w:lineRule="auto"/>
        <w:tabs>
          <w:tab w:leader="none" w:pos="3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of the Agreement</w:t>
      </w:r>
      <w:r>
        <w:rPr>
          <w:rFonts w:ascii="Times New Roman" w:cs="Times New Roman" w:eastAsia="Times New Roman" w:hAnsi="Times New Roman"/>
          <w:sz w:val="18"/>
          <w:szCs w:val="18"/>
          <w:color w:val="auto"/>
        </w:rPr>
        <w:t>. Except as expressly set forth in Article 2 above, the Agreement shall remain unmodified and in full force and effect. The execution, delivery and effectiveness of this Amendment No. 1 shall not, except as expressly provided herein, operate as a waiver of any right, power or remedy of the parties to the Agreement, nor constitute a waiver of any provision of the Agreement.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No. 1 may be executed in any number of counterparts, each of which shall be an original instrument and all of which, when taken together, shall constitute one and the same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4" w:name="page105"/>
    <w:bookmarkEnd w:id="104"/>
    <w:p>
      <w:pPr>
        <w:jc w:val="both"/>
        <w:ind w:firstLine="8"/>
        <w:spacing w:after="0" w:line="268" w:lineRule="auto"/>
        <w:tabs>
          <w:tab w:leader="none" w:pos="485"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authorized representatives of the Parties have duly executed this Agreement to be effective as of the Effective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Valneva Austria GmbH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t>
      </w:r>
    </w:p>
    <w:p>
      <w:pPr>
        <w:spacing w:after="0" w:line="25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t>
      </w:r>
    </w:p>
    <w:p>
      <w:pPr>
        <w:spacing w:after="0" w:line="25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Pfizer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t>
      </w:r>
    </w:p>
    <w:p>
      <w:pPr>
        <w:spacing w:after="0" w:line="25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SVP and Head of Vaccine Research &amp;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Valneva SE 6-K</w:t>
      </w:r>
    </w:p>
    <w:p>
      <w:pPr>
        <w:spacing w:after="0" w:line="24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both"/>
        <w:ind w:firstLine="8"/>
        <w:spacing w:after="0" w:line="268" w:lineRule="auto"/>
        <w:tabs>
          <w:tab w:leader="none" w:pos="485"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17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Amendment No. 2 to Agreement</w:t>
      </w:r>
    </w:p>
    <w:p>
      <w:pPr>
        <w:spacing w:after="0" w:line="3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(“Amendment No. 2”)</w:t>
      </w:r>
    </w:p>
    <w:p>
      <w:pPr>
        <w:sectPr>
          <w:pgSz w:w="11900" w:h="16838" w:orient="portrait"/>
          <w:cols w:equalWidth="0" w:num="1">
            <w:col w:w="11240"/>
          </w:cols>
          <w:pgMar w:left="320" w:top="162" w:right="339" w:bottom="1440" w:gutter="0" w:footer="0" w:header="0"/>
        </w:sectPr>
      </w:pP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Amendment No. 2 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November 2021</w:t>
      </w:r>
    </w:p>
    <w:p>
      <w:pPr>
        <w:spacing w:after="0" w:line="200" w:lineRule="exact"/>
        <w:rPr>
          <w:sz w:val="20"/>
          <w:szCs w:val="20"/>
          <w:color w:val="auto"/>
        </w:rPr>
      </w:pPr>
    </w:p>
    <w:p>
      <w:pPr>
        <w:sectPr>
          <w:pgSz w:w="11900" w:h="16838" w:orient="portrait"/>
          <w:cols w:equalWidth="0" w:num="2">
            <w:col w:w="4780" w:space="720"/>
            <w:col w:w="5740"/>
          </w:cols>
          <w:pgMar w:left="320" w:top="162" w:right="339" w:bottom="1440" w:gutter="0" w:footer="0" w:header="0"/>
          <w:type w:val="continuous"/>
        </w:sectPr>
      </w:pP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Name of Original Agreement: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tabs>
          <w:tab w:leader="none" w:pos="420" w:val="left"/>
          <w:tab w:leader="none" w:pos="1240" w:val="left"/>
          <w:tab w:leader="none" w:pos="2400" w:val="left"/>
        </w:tabs>
        <w:rPr>
          <w:sz w:val="20"/>
          <w:szCs w:val="20"/>
          <w:color w:val="auto"/>
        </w:rPr>
      </w:pPr>
      <w:r>
        <w:rPr>
          <w:rFonts w:ascii="Times New Roman" w:cs="Times New Roman" w:eastAsia="Times New Roman" w:hAnsi="Times New Roman"/>
          <w:sz w:val="18"/>
          <w:szCs w:val="18"/>
          <w:color w:val="auto"/>
        </w:rPr>
        <w:t>The</w:t>
        <w:tab/>
        <w:t>Research</w:t>
        <w:tab/>
        <w:t>Collaboration</w:t>
        <w:tab/>
        <w:t>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together with any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firstLine="18"/>
        <w:spacing w:after="0" w:line="261" w:lineRule="auto"/>
        <w:rPr>
          <w:sz w:val="20"/>
          <w:szCs w:val="20"/>
          <w:color w:val="auto"/>
        </w:rPr>
      </w:pPr>
      <w:r>
        <w:rPr>
          <w:rFonts w:ascii="Times New Roman" w:cs="Times New Roman" w:eastAsia="Times New Roman" w:hAnsi="Times New Roman"/>
          <w:sz w:val="18"/>
          <w:szCs w:val="18"/>
          <w:color w:val="auto"/>
        </w:rPr>
        <w:t>License previous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firstLine="28"/>
        <w:spacing w:after="0" w:line="261" w:lineRule="auto"/>
        <w:rPr>
          <w:sz w:val="20"/>
          <w:szCs w:val="20"/>
          <w:color w:val="auto"/>
        </w:rPr>
      </w:pPr>
      <w:r>
        <w:rPr>
          <w:rFonts w:ascii="Times New Roman" w:cs="Times New Roman" w:eastAsia="Times New Roman" w:hAnsi="Times New Roman"/>
          <w:sz w:val="18"/>
          <w:szCs w:val="18"/>
          <w:color w:val="auto"/>
        </w:rPr>
        <w:t>Agreement amendments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ind w:right="100" w:hanging="10"/>
        <w:spacing w:after="0" w:line="261" w:lineRule="auto"/>
        <w:rPr>
          <w:sz w:val="20"/>
          <w:szCs w:val="20"/>
          <w:color w:val="auto"/>
        </w:rPr>
      </w:pPr>
      <w:r>
        <w:rPr>
          <w:rFonts w:ascii="Times New Roman" w:cs="Times New Roman" w:eastAsia="Times New Roman" w:hAnsi="Times New Roman"/>
          <w:sz w:val="18"/>
          <w:szCs w:val="18"/>
          <w:color w:val="auto"/>
        </w:rPr>
        <w:t>(the</w:t>
      </w:r>
      <w:r>
        <w:rPr>
          <w:sz w:val="20"/>
          <w:szCs w:val="20"/>
          <w:color w:val="auto"/>
        </w:rPr>
        <w:t xml:space="preserve"> </w:t>
      </w:r>
      <w:r>
        <w:rPr>
          <w:rFonts w:ascii="Times New Roman" w:cs="Times New Roman" w:eastAsia="Times New Roman" w:hAnsi="Times New Roman"/>
          <w:sz w:val="18"/>
          <w:szCs w:val="18"/>
          <w:color w:val="auto"/>
        </w:rPr>
        <w:t>“Original which may be</w:t>
      </w:r>
    </w:p>
    <w:p>
      <w:pPr>
        <w:spacing w:after="0" w:line="1" w:lineRule="exact"/>
        <w:rPr>
          <w:sz w:val="20"/>
          <w:szCs w:val="20"/>
          <w:color w:val="auto"/>
        </w:rPr>
      </w:pPr>
    </w:p>
    <w:p>
      <w:pPr>
        <w:sectPr>
          <w:pgSz w:w="11900" w:h="16838" w:orient="portrait"/>
          <w:cols w:equalWidth="0" w:num="5">
            <w:col w:w="4780" w:space="720"/>
            <w:col w:w="2720" w:space="100"/>
            <w:col w:w="620" w:space="80"/>
            <w:col w:w="920" w:space="80"/>
            <w:col w:w="1220"/>
          </w:cols>
          <w:pgMar w:left="320" w:top="162" w:right="339" w:bottom="1440" w:gutter="0" w:footer="0" w:header="0"/>
          <w:type w:val="continuous"/>
        </w:sectPr>
      </w:pPr>
    </w:p>
    <w:p>
      <w:pPr>
        <w:ind w:left="5500"/>
        <w:spacing w:after="0"/>
        <w:rPr>
          <w:sz w:val="20"/>
          <w:szCs w:val="20"/>
          <w:color w:val="auto"/>
        </w:rPr>
      </w:pPr>
      <w:r>
        <w:rPr>
          <w:rFonts w:ascii="Times New Roman" w:cs="Times New Roman" w:eastAsia="Times New Roman" w:hAnsi="Times New Roman"/>
          <w:sz w:val="17"/>
          <w:szCs w:val="17"/>
          <w:color w:val="auto"/>
        </w:rPr>
        <w:t>described below, the “Agreement”)</w:t>
      </w:r>
    </w:p>
    <w:p>
      <w:pPr>
        <w:sectPr>
          <w:pgSz w:w="11900" w:h="16838" w:orient="portrait"/>
          <w:cols w:equalWidth="0" w:num="1">
            <w:col w:w="11240"/>
          </w:cols>
          <w:pgMar w:left="320" w:top="162" w:right="339" w:bottom="1440" w:gutter="0" w:footer="0" w:header="0"/>
          <w:type w:val="continuous"/>
        </w:sectPr>
      </w:pPr>
    </w:p>
    <w:p>
      <w:pPr>
        <w:spacing w:after="0" w:line="2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Effective Date of Original Agreement: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29, 2020 (“Effective Date”)</w:t>
      </w:r>
    </w:p>
    <w:p>
      <w:pPr>
        <w:spacing w:after="0" w:line="200" w:lineRule="exact"/>
        <w:rPr>
          <w:sz w:val="20"/>
          <w:szCs w:val="20"/>
          <w:color w:val="auto"/>
        </w:rPr>
      </w:pPr>
    </w:p>
    <w:p>
      <w:pPr>
        <w:sectPr>
          <w:pgSz w:w="11900" w:h="16838" w:orient="portrait"/>
          <w:cols w:equalWidth="0" w:num="2">
            <w:col w:w="4780" w:space="720"/>
            <w:col w:w="5740"/>
          </w:cols>
          <w:pgMar w:left="320" w:top="162" w:right="339" w:bottom="1440" w:gutter="0" w:footer="0" w:header="0"/>
          <w:type w:val="continuous"/>
        </w:sectPr>
      </w:pPr>
    </w:p>
    <w:p>
      <w:pPr>
        <w:spacing w:after="0" w:line="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Pfizer Inc. (“Pfizer”) and Valneva Austria GmbH (“Valneva”)</w:t>
      </w:r>
    </w:p>
    <w:p>
      <w:pPr>
        <w:spacing w:after="0" w:line="207" w:lineRule="exact"/>
        <w:rPr>
          <w:sz w:val="20"/>
          <w:szCs w:val="20"/>
          <w:color w:val="auto"/>
        </w:rPr>
      </w:pPr>
    </w:p>
    <w:p>
      <w:pPr>
        <w:sectPr>
          <w:pgSz w:w="11900" w:h="16838" w:orient="portrait"/>
          <w:cols w:equalWidth="0" w:num="2">
            <w:col w:w="4780" w:space="720"/>
            <w:col w:w="5740"/>
          </w:cols>
          <w:pgMar w:left="320" w:top="162" w:right="339" w:bottom="1440" w:gutter="0" w:footer="0" w:header="0"/>
          <w:type w:val="continuous"/>
        </w:sectPr>
      </w:pP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Dates of Previous Amendment(s):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July 2021</w:t>
      </w:r>
    </w:p>
    <w:p>
      <w:pPr>
        <w:spacing w:after="0" w:line="200" w:lineRule="exact"/>
        <w:rPr>
          <w:sz w:val="20"/>
          <w:szCs w:val="20"/>
          <w:color w:val="auto"/>
        </w:rPr>
      </w:pPr>
    </w:p>
    <w:p>
      <w:pPr>
        <w:sectPr>
          <w:pgSz w:w="11900" w:h="16838" w:orient="portrait"/>
          <w:cols w:equalWidth="0" w:num="2">
            <w:col w:w="4780" w:space="720"/>
            <w:col w:w="5740"/>
          </w:cols>
          <w:pgMar w:left="320" w:top="162" w:right="339" w:bottom="1440" w:gutter="0" w:footer="0" w:header="0"/>
          <w:type w:val="continuous"/>
        </w:sectPr>
      </w:pP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On 14 July 2021, the Parties entered into an amendment to the Agreement (“Amendment No. 1”). On 10 November the Parties entered into another amendment to the Agreement and this second amendment was incorrectly headed “Amendment No. 1” and the Parties now wish to delete the Amendment No. 1 dated 10 November 2021 in its entirety and replace it with this Amendment No. 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As a result of updated set-up/timelines for the New Phase 2 Clinical Trial (VLA15-221) the parties have agreed to transfer the IND on a date certain to help support Pfizer’s future development and planning of Clinical Trials of the Vaccine (each as defined in the Agreement);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WHEREAS, the parties hereto desire to amend, among other things, certain terms of the Agreement reflecting the accelerated timing of the transfer of the IND.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order to accommodate the desired amendment(s), the parties hereby agree as follows:</w:t>
      </w:r>
    </w:p>
    <w:p>
      <w:pPr>
        <w:spacing w:after="0" w:line="225" w:lineRule="exact"/>
        <w:rPr>
          <w:sz w:val="20"/>
          <w:szCs w:val="20"/>
          <w:color w:val="auto"/>
        </w:rPr>
      </w:pPr>
    </w:p>
    <w:p>
      <w:pPr>
        <w:ind w:left="340" w:hanging="332"/>
        <w:spacing w:after="0"/>
        <w:tabs>
          <w:tab w:leader="none" w:pos="3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used but not defined herein shall have the respective meanings ascribed to such terms in the Agreement.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the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1740" w:hanging="324"/>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Section 4.2.6(e) of the Agreement is hereby amended and replaced in its entirety with the following new Section 4.2.6(e): 4.2.6(e). transfer the IND for the Vaccine to Pfizer not later than [***];</w:t>
      </w:r>
    </w:p>
    <w:p>
      <w:pPr>
        <w:spacing w:after="0" w:line="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Section 5.2 of the Agreement is hereby amended and replaced in its entirety with the following new Section 5.2: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106" w:name="page107"/>
    <w:bookmarkEnd w:id="106"/>
    <w:p>
      <w:pPr>
        <w:jc w:val="both"/>
        <w:ind w:firstLine="8"/>
        <w:spacing w:after="0" w:line="268" w:lineRule="auto"/>
        <w:tabs>
          <w:tab w:leader="none" w:pos="485"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Valneva Phase 2 Clinical Trials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405"/>
        <w:spacing w:after="0" w:line="266" w:lineRule="auto"/>
        <w:rPr>
          <w:sz w:val="20"/>
          <w:szCs w:val="20"/>
          <w:color w:val="auto"/>
        </w:rPr>
      </w:pPr>
      <w:r>
        <w:rPr>
          <w:rFonts w:ascii="Times New Roman" w:cs="Times New Roman" w:eastAsia="Times New Roman" w:hAnsi="Times New Roman"/>
          <w:sz w:val="18"/>
          <w:szCs w:val="18"/>
          <w:color w:val="auto"/>
        </w:rPr>
        <w:t>5.2.1. Valneva shall continue to act as the sponsor of the Valneva On-Going Phase 2 Clinical Trials until such time as Valneva transfers the IND relating to the Vaccine to Pfizer pursuant to Section 4.2.6(e). Valneva will be solely responsible for all Costs associated with the Valneva On-Going Phase 2 Clinical Trials incurred prior to, and after IND transfer.</w:t>
      </w:r>
    </w:p>
    <w:p>
      <w:pPr>
        <w:spacing w:after="0" w:line="176" w:lineRule="exact"/>
        <w:rPr>
          <w:sz w:val="20"/>
          <w:szCs w:val="20"/>
          <w:color w:val="auto"/>
        </w:rPr>
      </w:pPr>
    </w:p>
    <w:p>
      <w:pPr>
        <w:jc w:val="both"/>
        <w:ind w:left="1060" w:right="20" w:firstLine="405"/>
        <w:spacing w:after="0" w:line="282" w:lineRule="auto"/>
        <w:rPr>
          <w:sz w:val="20"/>
          <w:szCs w:val="20"/>
          <w:color w:val="auto"/>
        </w:rPr>
      </w:pPr>
      <w:r>
        <w:rPr>
          <w:rFonts w:ascii="Times New Roman" w:cs="Times New Roman" w:eastAsia="Times New Roman" w:hAnsi="Times New Roman"/>
          <w:sz w:val="18"/>
          <w:szCs w:val="18"/>
          <w:color w:val="auto"/>
        </w:rPr>
        <w:t>5.2.1(a). Upon Valneva transferring the IND relating to the Valneva Phase 2 Clinical Trials to Pfizer, Pfizer shall become the regulatory sponsor of such IND and any and all clinical trials conducted in relation to the IND or to the Vaccine.</w:t>
      </w:r>
    </w:p>
    <w:p>
      <w:pPr>
        <w:spacing w:after="0" w:line="162" w:lineRule="exact"/>
        <w:rPr>
          <w:sz w:val="20"/>
          <w:szCs w:val="20"/>
          <w:color w:val="auto"/>
        </w:rPr>
      </w:pPr>
    </w:p>
    <w:p>
      <w:pPr>
        <w:jc w:val="both"/>
        <w:ind w:left="1060" w:firstLine="405"/>
        <w:spacing w:after="0" w:line="266" w:lineRule="auto"/>
        <w:rPr>
          <w:sz w:val="20"/>
          <w:szCs w:val="20"/>
          <w:color w:val="auto"/>
        </w:rPr>
      </w:pPr>
      <w:r>
        <w:rPr>
          <w:rFonts w:ascii="Times New Roman" w:cs="Times New Roman" w:eastAsia="Times New Roman" w:hAnsi="Times New Roman"/>
          <w:sz w:val="18"/>
          <w:szCs w:val="18"/>
          <w:color w:val="auto"/>
        </w:rPr>
        <w:t>5.2.1(b). Subject to the terms of this Agreement, coincident with Valneva transferring the IND relating to the Valneva Phase 2 Clinical Trials to Pfizer, Pfizer will transfer to Valneva responsibility for such obligations of sponsorship as are mutually agreed between the Parties, to enable Valenva’s uninterrupted conduct of the Valneva Phase 2 Clinical Trials.</w:t>
      </w:r>
    </w:p>
    <w:p>
      <w:pPr>
        <w:spacing w:after="0" w:line="176" w:lineRule="exact"/>
        <w:rPr>
          <w:sz w:val="20"/>
          <w:szCs w:val="20"/>
          <w:color w:val="auto"/>
        </w:rPr>
      </w:pPr>
    </w:p>
    <w:p>
      <w:pPr>
        <w:jc w:val="both"/>
        <w:ind w:left="1060" w:firstLine="405"/>
        <w:spacing w:after="0" w:line="258" w:lineRule="auto"/>
        <w:rPr>
          <w:sz w:val="20"/>
          <w:szCs w:val="20"/>
          <w:color w:val="auto"/>
        </w:rPr>
      </w:pPr>
      <w:r>
        <w:rPr>
          <w:rFonts w:ascii="Times New Roman" w:cs="Times New Roman" w:eastAsia="Times New Roman" w:hAnsi="Times New Roman"/>
          <w:sz w:val="18"/>
          <w:szCs w:val="18"/>
          <w:color w:val="auto"/>
        </w:rPr>
        <w:t>5.2.1(c) Prior to Pfizer transferring to Valneva any obligations of sponsorship, the Parties will mutually agree upon a plan (“Transfer Plan”) which will set forth in detail the nature and scope of each Party’s responsibilities with respect to the Valneva Phase 2 Clinical Trials following transfer of the IND. Once agreed upon, the Transfer Plan will be incorporated by reference into this Agreement and may only be amended with the unanimous consent of both parties, which may be provided either in writing, or orally at a meeting of the Joint Development Committee and recorded in the minutes thereof. The head terms of such Transfer Plan is attached hereto as Exhibit A.</w:t>
      </w:r>
    </w:p>
    <w:p>
      <w:pPr>
        <w:spacing w:after="0" w:line="183" w:lineRule="exact"/>
        <w:rPr>
          <w:sz w:val="20"/>
          <w:szCs w:val="20"/>
          <w:color w:val="auto"/>
        </w:rPr>
      </w:pPr>
    </w:p>
    <w:p>
      <w:pPr>
        <w:jc w:val="both"/>
        <w:ind w:left="1060"/>
        <w:spacing w:after="0" w:line="258" w:lineRule="auto"/>
        <w:rPr>
          <w:sz w:val="20"/>
          <w:szCs w:val="20"/>
          <w:color w:val="auto"/>
        </w:rPr>
      </w:pPr>
      <w:r>
        <w:rPr>
          <w:rFonts w:ascii="Times New Roman" w:cs="Times New Roman" w:eastAsia="Times New Roman" w:hAnsi="Times New Roman"/>
          <w:sz w:val="18"/>
          <w:szCs w:val="18"/>
          <w:color w:val="auto"/>
        </w:rPr>
        <w:t>5.2.2. After transfer of the IND pursuant to Section 4.2.6(e), Valneva shall ensure that the Valneva Phase 2 Clinical Trials are performed in accordance with this Agreement, the applicable protocols and all Applicable Law, including GCP. In the event that any Regulatory Authority, ethics committee or institutional review board makes inquiries relating to any aspect of the Valneva Phase 2 Clinical Trials, including but not limited to any aspect of the protocol, data quality, manufacturing or study conduct, Valneva will immediately notify Pfizer of such inquiries and provide reasonable assistance to Pfizer in responding.</w:t>
      </w:r>
    </w:p>
    <w:p>
      <w:pPr>
        <w:spacing w:after="0" w:line="183" w:lineRule="exact"/>
        <w:rPr>
          <w:sz w:val="20"/>
          <w:szCs w:val="20"/>
          <w:color w:val="auto"/>
        </w:rPr>
      </w:pPr>
    </w:p>
    <w:p>
      <w:pPr>
        <w:jc w:val="both"/>
        <w:ind w:left="1060"/>
        <w:spacing w:after="0" w:line="254" w:lineRule="auto"/>
        <w:rPr>
          <w:sz w:val="20"/>
          <w:szCs w:val="20"/>
          <w:color w:val="auto"/>
        </w:rPr>
      </w:pPr>
      <w:r>
        <w:rPr>
          <w:rFonts w:ascii="Times New Roman" w:cs="Times New Roman" w:eastAsia="Times New Roman" w:hAnsi="Times New Roman"/>
          <w:sz w:val="18"/>
          <w:szCs w:val="18"/>
          <w:color w:val="auto"/>
        </w:rPr>
        <w:t>5.2.3. After transfer of the IND pursuant to Section 4.2.6(e), Valneva shall ensure that: (i) all directions from any Regulatory Authority and/or ethics committee with jurisdiction over the Valneva Phase 2 Clinical Trials are followed; (ii) all Regulatory Approvals from any Regulatory Authority and/or ethics committee with jurisdiction over the New Phase 2 Clinical Trial are maintained; and (iii) all reports and related documentation relating to the Valneva Phase 2 Clinical Trials are maintained in good scientific manner and in compliance with Applicable Law, including any revisions to reports and related documentation as are necessary to fulfill Pfizer’s obligations as sponsor of the Valneva Phase 2 Clincial Trials upon transfer of the IND from Valneva to Pfizer. Pfizer, as the sponsor, shall lead any discussions with a Regulatory Authority regarding the Valneva Phase 2 Clinical Trials, with Valneva having the right to participate in any such discussions. Prior to any such discussions Pfizer and Valneva shall jointly discuss strategies and content of information to be provided to, and/or discussed with the relevant Regulatory Authority.</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7" w:name="page108"/>
    <w:bookmarkEnd w:id="107"/>
    <w:p>
      <w:pPr>
        <w:jc w:val="both"/>
        <w:ind w:firstLine="8"/>
        <w:spacing w:after="0" w:line="268" w:lineRule="auto"/>
        <w:tabs>
          <w:tab w:leader="none" w:pos="485"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83" w:lineRule="exact"/>
        <w:rPr>
          <w:sz w:val="20"/>
          <w:szCs w:val="20"/>
          <w:color w:val="auto"/>
        </w:rPr>
      </w:pPr>
    </w:p>
    <w:p>
      <w:pPr>
        <w:jc w:val="both"/>
        <w:ind w:left="340" w:hanging="332"/>
        <w:spacing w:after="0" w:line="266" w:lineRule="auto"/>
        <w:tabs>
          <w:tab w:leader="none" w:pos="3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of the Agreement</w:t>
      </w:r>
      <w:r>
        <w:rPr>
          <w:rFonts w:ascii="Times New Roman" w:cs="Times New Roman" w:eastAsia="Times New Roman" w:hAnsi="Times New Roman"/>
          <w:sz w:val="18"/>
          <w:szCs w:val="18"/>
          <w:color w:val="auto"/>
        </w:rPr>
        <w:t>. Except as expressly set forth in Article 2 above, the Agreement shall remain unmodified and in full force and effect. The execution, delivery and effectiveness of this Amendment No. 2 shall not, except as expressly provided herein, operate as a waiver of any right, power or remedy of the parties to the Agreement, nor constitute a waiver of any provision of the Agreement.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No. 2 may be executed in any number of counterparts, each of which shall be an original instrument and all of which, when taken together, shall constitute one and the same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IMMEDIATELY FOLLOWING ON NEXT PAGE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8" w:name="page109"/>
    <w:bookmarkEnd w:id="108"/>
    <w:p>
      <w:pPr>
        <w:jc w:val="both"/>
        <w:ind w:firstLine="8"/>
        <w:spacing w:after="0" w:line="268" w:lineRule="auto"/>
        <w:tabs>
          <w:tab w:leader="none" w:pos="485"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duly authorized representatives of Pfizer and Valneva have executed this Amendment No. 2 as of the date first above written.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Valneva Austria GmbH</w:t>
            </w:r>
          </w:p>
        </w:tc>
        <w:tc>
          <w:tcPr>
            <w:tcW w:w="672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Pfizer Inc.</w:t>
            </w:r>
          </w:p>
        </w:tc>
      </w:tr>
      <w:tr>
        <w:trPr>
          <w:trHeight w:val="392"/>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By: /s/[***]</w:t>
            </w:r>
          </w:p>
        </w:tc>
        <w:tc>
          <w:tcPr>
            <w:tcW w:w="67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By: /s/[***]</w:t>
            </w:r>
          </w:p>
        </w:tc>
      </w:tr>
      <w:tr>
        <w:trPr>
          <w:trHeight w:val="41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6720" w:type="dxa"/>
            <w:vAlign w:val="bottom"/>
          </w:tcPr>
          <w:p>
            <w:pPr>
              <w:spacing w:after="0"/>
              <w:rPr>
                <w:sz w:val="24"/>
                <w:szCs w:val="24"/>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72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67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Print Name: [***]</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Title: [***]</w:t>
            </w:r>
          </w:p>
        </w:tc>
        <w:tc>
          <w:tcPr>
            <w:tcW w:w="67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Title: SVP and Head of Vaccine Research &amp; Development</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21, 2022</w:t>
            </w:r>
          </w:p>
        </w:tc>
        <w:tc>
          <w:tcPr>
            <w:tcW w:w="67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Date: March 21, 2022</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mars 22, 2022</w:t>
            </w:r>
          </w:p>
        </w:tc>
        <w:tc>
          <w:tcPr>
            <w:tcW w:w="6720" w:type="dxa"/>
            <w:vAlign w:val="bottom"/>
          </w:tcPr>
          <w:p>
            <w:pPr>
              <w:spacing w:after="0"/>
              <w:rPr>
                <w:sz w:val="18"/>
                <w:szCs w:val="18"/>
                <w:color w:val="auto"/>
              </w:rPr>
            </w:pPr>
          </w:p>
        </w:tc>
      </w:tr>
      <w:tr>
        <w:trPr>
          <w:trHeight w:val="234"/>
        </w:trPr>
        <w:tc>
          <w:tcPr>
            <w:tcW w:w="45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(Duly authorized)</w:t>
            </w:r>
          </w:p>
        </w:tc>
        <w:tc>
          <w:tcPr>
            <w:tcW w:w="672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(Duly authorized)</w:t>
            </w:r>
          </w:p>
        </w:tc>
      </w:tr>
      <w:tr>
        <w:trPr>
          <w:trHeight w:val="540"/>
        </w:trPr>
        <w:tc>
          <w:tcPr>
            <w:tcW w:w="45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225" w:right="339" w:bottom="1440" w:gutter="0" w:footer="0" w:header="0"/>
        </w:sectPr>
      </w:pPr>
    </w:p>
    <w:bookmarkStart w:id="109" w:name="page110"/>
    <w:bookmarkEnd w:id="109"/>
    <w:p>
      <w:pPr>
        <w:jc w:val="both"/>
        <w:ind w:left="-8" w:firstLine="8"/>
        <w:spacing w:after="0" w:line="268" w:lineRule="auto"/>
        <w:tabs>
          <w:tab w:leader="none" w:pos="477"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6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Head terms to be detailed in the Transfer Plan:</w:t>
      </w:r>
    </w:p>
    <w:p>
      <w:pPr>
        <w:spacing w:after="0" w:line="22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22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Valneva SE 6-K</w:t>
      </w: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both"/>
        <w:ind w:firstLine="8"/>
        <w:spacing w:after="0" w:line="268" w:lineRule="auto"/>
        <w:tabs>
          <w:tab w:leader="none" w:pos="485"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Research Collaboration and License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w:t>
      </w:r>
    </w:p>
    <w:p>
      <w:pPr>
        <w:sectPr>
          <w:pgSz w:w="11900" w:h="16838" w:orient="portrait"/>
          <w:cols w:equalWidth="0" w:num="1">
            <w:col w:w="11240"/>
          </w:cols>
          <w:pgMar w:left="320" w:top="162"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19, 2022</w:t>
      </w:r>
    </w:p>
    <w:p>
      <w:pPr>
        <w:spacing w:after="0" w:line="207" w:lineRule="exact"/>
        <w:rPr>
          <w:sz w:val="20"/>
          <w:szCs w:val="20"/>
          <w:color w:val="auto"/>
        </w:rPr>
      </w:pPr>
    </w:p>
    <w:p>
      <w:pPr>
        <w:sectPr>
          <w:pgSz w:w="11900" w:h="16838" w:orient="portrait"/>
          <w:cols w:equalWidth="0" w:num="2">
            <w:col w:w="4900" w:space="720"/>
            <w:col w:w="5620"/>
          </w:cols>
          <w:pgMar w:left="320" w:top="162"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Research Collaboration and License Agreement (“Original Agreement”), as amended by Amendment No. 1 to Agreement dated as of 14 July 2021 and Amendment No. 2 to Agreement dated as of 10 November 2021 (the “Agreement”)</w:t>
      </w:r>
    </w:p>
    <w:p>
      <w:pPr>
        <w:spacing w:after="0" w:line="176" w:lineRule="exact"/>
        <w:rPr>
          <w:sz w:val="20"/>
          <w:szCs w:val="20"/>
          <w:color w:val="auto"/>
        </w:rPr>
      </w:pPr>
    </w:p>
    <w:p>
      <w:pPr>
        <w:sectPr>
          <w:pgSz w:w="11900" w:h="16838" w:orient="portrait"/>
          <w:cols w:equalWidth="0" w:num="2">
            <w:col w:w="4900" w:space="720"/>
            <w:col w:w="5620"/>
          </w:cols>
          <w:pgMar w:left="320" w:top="16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Effective Date of Original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April 29, 2020</w:t>
      </w:r>
    </w:p>
    <w:p>
      <w:pPr>
        <w:spacing w:after="0" w:line="200" w:lineRule="exact"/>
        <w:rPr>
          <w:sz w:val="20"/>
          <w:szCs w:val="20"/>
          <w:color w:val="auto"/>
        </w:rPr>
      </w:pPr>
    </w:p>
    <w:p>
      <w:pPr>
        <w:sectPr>
          <w:pgSz w:w="11900" w:h="16838" w:orient="portrait"/>
          <w:cols w:equalWidth="0" w:num="2">
            <w:col w:w="4900" w:space="720"/>
            <w:col w:w="5620"/>
          </w:cols>
          <w:pgMar w:left="320" w:top="162"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Pfizer Inc. (“Pfizer”) and Valneva Austria GmbH (“Company”)</w:t>
      </w:r>
    </w:p>
    <w:p>
      <w:pPr>
        <w:spacing w:after="0" w:line="207" w:lineRule="exact"/>
        <w:rPr>
          <w:sz w:val="20"/>
          <w:szCs w:val="20"/>
          <w:color w:val="auto"/>
        </w:rPr>
      </w:pPr>
    </w:p>
    <w:p>
      <w:pPr>
        <w:sectPr>
          <w:pgSz w:w="11900" w:h="16838" w:orient="portrait"/>
          <w:cols w:equalWidth="0" w:num="2">
            <w:col w:w="4900" w:space="720"/>
            <w:col w:w="5620"/>
          </w:cols>
          <w:pgMar w:left="320" w:top="162" w:right="339" w:bottom="1440" w:gutter="0" w:footer="0" w:header="0"/>
          <w:type w:val="continuous"/>
        </w:sectPr>
      </w:pPr>
    </w:p>
    <w:p>
      <w:pPr>
        <w:spacing w:after="0" w:line="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the parties have entered into a Subscription Agreement dated as of the date of this Amendment No. 3 (the “Subscription Agreement”) pursuant to which, among other things, Pfizer is obligated to acquire the euro equivalent of $95 million of certain securities of the Company, in accordance with the terms and conditions of the Subscription Agreement; and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parties hereto desire to amend, among other things, certain terms of the Agreement, subject to the terms and conditions of this Amendment No. 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order to accommodate the desired amendment(s), the parties hereby agree as follows:</w:t>
      </w:r>
    </w:p>
    <w:p>
      <w:pPr>
        <w:spacing w:after="0" w:line="225" w:lineRule="exact"/>
        <w:rPr>
          <w:sz w:val="20"/>
          <w:szCs w:val="20"/>
          <w:color w:val="auto"/>
        </w:rPr>
      </w:pPr>
    </w:p>
    <w:p>
      <w:pPr>
        <w:ind w:left="340" w:hanging="332"/>
        <w:spacing w:after="0"/>
        <w:tabs>
          <w:tab w:leader="none" w:pos="3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used but not defined herein shall have the respective meanings ascribed to such terms in the Agreement.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the Agreement</w:t>
      </w:r>
      <w:r>
        <w:rPr>
          <w:rFonts w:ascii="Times New Roman" w:cs="Times New Roman" w:eastAsia="Times New Roman" w:hAnsi="Times New Roman"/>
          <w:sz w:val="18"/>
          <w:szCs w:val="18"/>
          <w:color w:val="auto"/>
        </w:rPr>
        <w:t>. Each of the amendments referenced below in this Section 2 shall become effective only as of the sale of the certain securities of the Company described in the Subscription Agreement resulting in at least the euro equivalent of $95 million of gross cash proceeds paid by Pfizer to the Company pursuant to the Subscription Agreement (the “Subscription Closing”):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2.1 The first sentence of Section 3.2 of the Agreement will be replaced in its entirety as follows:</w:t>
      </w:r>
    </w:p>
    <w:p>
      <w:pPr>
        <w:spacing w:after="0" w:line="225" w:lineRule="exact"/>
        <w:rPr>
          <w:sz w:val="20"/>
          <w:szCs w:val="20"/>
          <w:color w:val="auto"/>
        </w:rPr>
      </w:pPr>
    </w:p>
    <w:p>
      <w:pPr>
        <w:ind w:left="340" w:right="220" w:firstLine="324"/>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this Agreement, the Development Costs incurred by the Parties pursuant to the Development Plan in accordance with the Development Budget (“</w:t>
      </w:r>
      <w:r>
        <w:rPr>
          <w:rFonts w:ascii="Times New Roman" w:cs="Times New Roman" w:eastAsia="Times New Roman" w:hAnsi="Times New Roman"/>
          <w:sz w:val="18"/>
          <w:szCs w:val="18"/>
          <w:b w:val="1"/>
          <w:bCs w:val="1"/>
          <w:color w:val="auto"/>
        </w:rPr>
        <w:t>Shared Costs</w:t>
      </w:r>
      <w:r>
        <w:rPr>
          <w:rFonts w:ascii="Times New Roman" w:cs="Times New Roman" w:eastAsia="Times New Roman" w:hAnsi="Times New Roman"/>
          <w:sz w:val="18"/>
          <w:szCs w:val="18"/>
          <w:color w:val="auto"/>
        </w:rPr>
        <w:t>”) from the Effective Date through April 30, 2022 will be borne seventy percent (70%) by Pfizer and thirty percent (30%) by Valneva. Shared Costs incurred after April 30, 2022 will be borne sixty percent (60%) by Pfizer and forty percent (40%) by Valneva, subject to the terms and conditions of this Section 3.2 (the “</w:t>
      </w:r>
      <w:r>
        <w:rPr>
          <w:rFonts w:ascii="Times New Roman" w:cs="Times New Roman" w:eastAsia="Times New Roman" w:hAnsi="Times New Roman"/>
          <w:sz w:val="18"/>
          <w:szCs w:val="18"/>
          <w:b w:val="1"/>
          <w:bCs w:val="1"/>
          <w:color w:val="auto"/>
        </w:rPr>
        <w:t>60/40 Shared Cost Split</w:t>
      </w:r>
      <w:r>
        <w:rPr>
          <w:rFonts w:ascii="Times New Roman" w:cs="Times New Roman" w:eastAsia="Times New Roman" w:hAnsi="Times New Roman"/>
          <w:sz w:val="18"/>
          <w:szCs w:val="18"/>
          <w:color w:val="auto"/>
        </w:rPr>
        <w:t>”). Notwithstanding the 60/40 Shared Cost Split after April 30, 2022, beginning on May 1, 2022 with respect to Shared Costs incurred on or after May 1, 2022:</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111" w:name="page112"/>
    <w:bookmarkEnd w:id="111"/>
    <w:p>
      <w:pPr>
        <w:jc w:val="both"/>
        <w:ind w:left="-8" w:firstLine="8"/>
        <w:spacing w:after="0" w:line="268" w:lineRule="auto"/>
        <w:tabs>
          <w:tab w:leader="none" w:pos="477"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82" w:lineRule="exact"/>
        <w:rPr>
          <w:rFonts w:ascii="Times New Roman" w:cs="Times New Roman" w:eastAsia="Times New Roman" w:hAnsi="Times New Roman"/>
          <w:sz w:val="18"/>
          <w:szCs w:val="18"/>
          <w:b w:val="1"/>
          <w:bCs w:val="1"/>
          <w:color w:val="auto"/>
        </w:rPr>
      </w:pPr>
    </w:p>
    <w:p>
      <w:pPr>
        <w:ind w:left="652" w:right="200" w:firstLine="320"/>
        <w:spacing w:after="0" w:line="258" w:lineRule="auto"/>
        <w:tabs>
          <w:tab w:leader="none" w:pos="1221"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occurrence of any Phase 3 Clinical Trial Cessation, with respect to a maximum aggregate of [***] of such Shared Costs, (i) Valneva shall bear the first [***] of such Shared Costs, then Pfizer shall bear the subsequent [***] of such Shared Costs, then Valneva shall bear the subsequent [***] of such Shared Costs and then Pfizer shall bear the subsequent [***] of such Shared Costs, and (ii) with respect to all such Shared Costs in excess of [***], the 60/40 Cost Sharing Split shall be applied to any such additional Shared Costs incurred following the exhaustion of such total [***] as allocated above; and</w:t>
      </w:r>
    </w:p>
    <w:p>
      <w:pPr>
        <w:spacing w:after="0" w:line="183" w:lineRule="exact"/>
        <w:rPr>
          <w:rFonts w:ascii="Times New Roman" w:cs="Times New Roman" w:eastAsia="Times New Roman" w:hAnsi="Times New Roman"/>
          <w:sz w:val="18"/>
          <w:szCs w:val="18"/>
          <w:color w:val="auto"/>
        </w:rPr>
      </w:pPr>
    </w:p>
    <w:p>
      <w:pPr>
        <w:ind w:left="652" w:right="20" w:firstLine="320"/>
        <w:spacing w:after="0" w:line="282" w:lineRule="auto"/>
        <w:tabs>
          <w:tab w:leader="none" w:pos="1231"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the occurrence of any Phase 3 Clinical Trial Cessation, the Parties understand and agree that all Shared Costs incurred on or after May 1, 2022 shall be borne sixty percent (60%) by Pfizer and forty percent (40%) by Valneva.</w:t>
      </w:r>
    </w:p>
    <w:p>
      <w:pPr>
        <w:spacing w:after="0" w:line="162" w:lineRule="exact"/>
        <w:rPr>
          <w:sz w:val="20"/>
          <w:szCs w:val="20"/>
          <w:color w:val="auto"/>
        </w:rPr>
      </w:pPr>
    </w:p>
    <w:p>
      <w:pPr>
        <w:ind w:left="652" w:right="120"/>
        <w:spacing w:after="0" w:line="277" w:lineRule="auto"/>
        <w:rPr>
          <w:sz w:val="20"/>
          <w:szCs w:val="20"/>
          <w:color w:val="auto"/>
        </w:rPr>
      </w:pPr>
      <w:r>
        <w:rPr>
          <w:rFonts w:ascii="Times New Roman" w:cs="Times New Roman" w:eastAsia="Times New Roman" w:hAnsi="Times New Roman"/>
          <w:sz w:val="17"/>
          <w:szCs w:val="17"/>
          <w:color w:val="auto"/>
        </w:rPr>
        <w:t>As used herein (i) “Phase 3 Clinical Trial Cessation” shall mean any (x) termination of any Phase 3 Clinical Trial prior to completion in accordance with the terms of the protocol for such Phase 3 Clinical Trial or (y) any temporary halt or Clinical Hold of any Phase 3 Clinical Trial which lasts for longer than 180 days; and (ii) “Clinical Hold” shall mean (x) an order issued by the FDA pursuant to 21 CFR §312.42 to delay a proposed clinical investigation or to suspend an ongoing clinical investigation of the Combined Therapy or such Party’s Single Agent Compound in the United States or (y) an equivalent order issued by a Regulatory Authority other than the FDA in any other country or group of countries.”</w:t>
      </w:r>
    </w:p>
    <w:p>
      <w:pPr>
        <w:spacing w:after="0" w:line="168"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2.2 A new Section 3.3.1 would be added to the Agreement in its entirety as follows:</w:t>
      </w:r>
    </w:p>
    <w:p>
      <w:pPr>
        <w:spacing w:after="0" w:line="221" w:lineRule="exact"/>
        <w:rPr>
          <w:sz w:val="20"/>
          <w:szCs w:val="20"/>
          <w:color w:val="auto"/>
        </w:rPr>
      </w:pPr>
    </w:p>
    <w:p>
      <w:pPr>
        <w:ind w:left="332" w:right="280" w:firstLine="24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Sales Milestone Payments.</w:t>
      </w:r>
      <w:r>
        <w:rPr>
          <w:rFonts w:ascii="Times New Roman" w:cs="Times New Roman" w:eastAsia="Times New Roman" w:hAnsi="Times New Roman"/>
          <w:sz w:val="18"/>
          <w:szCs w:val="18"/>
          <w:color w:val="auto"/>
        </w:rPr>
        <w:t xml:space="preserve"> Pfizer would pay to Valneva the following one-time sales milestone payments within sixty (60) days following the Pfizer Quarter in which the corresponding cumulative Net Sales threshold for all Products is first achieved.</w:t>
      </w:r>
    </w:p>
    <w:p>
      <w:pPr>
        <w:spacing w:after="0" w:line="157" w:lineRule="exact"/>
        <w:rPr>
          <w:sz w:val="20"/>
          <w:szCs w:val="20"/>
          <w:color w:val="auto"/>
        </w:rPr>
      </w:pPr>
    </w:p>
    <w:tbl>
      <w:tblPr>
        <w:tblLayout w:type="fixed"/>
        <w:tblInd w:w="462" w:type="dxa"/>
        <w:tblCellMar>
          <w:top w:w="0" w:type="dxa"/>
          <w:left w:w="0" w:type="dxa"/>
          <w:bottom w:w="0" w:type="dxa"/>
          <w:right w:w="0" w:type="dxa"/>
        </w:tblCellMar>
      </w:tblPr>
      <w:tr>
        <w:trPr>
          <w:trHeight w:val="229"/>
        </w:trPr>
        <w:tc>
          <w:tcPr>
            <w:tcW w:w="6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Cumulative Territory-Wide Net Sales Milestones</w:t>
            </w:r>
          </w:p>
        </w:tc>
        <w:tc>
          <w:tcPr>
            <w:tcW w:w="22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Payment</w:t>
            </w:r>
          </w:p>
        </w:tc>
      </w:tr>
      <w:tr>
        <w:trPr>
          <w:trHeight w:val="210"/>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bl>
    <w:p>
      <w:pPr>
        <w:ind w:left="652"/>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2.3 The table in Section 3.4.1 of the Agreement would be revised in its entirety as follows:</w:t>
      </w:r>
    </w:p>
    <w:p>
      <w:pPr>
        <w:spacing w:after="0" w:line="223" w:lineRule="exact"/>
        <w:rPr>
          <w:sz w:val="20"/>
          <w:szCs w:val="20"/>
          <w:color w:val="auto"/>
        </w:rPr>
      </w:pPr>
    </w:p>
    <w:tbl>
      <w:tblPr>
        <w:tblLayout w:type="fixed"/>
        <w:tblInd w:w="2262" w:type="dxa"/>
        <w:tblCellMar>
          <w:top w:w="0" w:type="dxa"/>
          <w:left w:w="0" w:type="dxa"/>
          <w:bottom w:w="0" w:type="dxa"/>
          <w:right w:w="0" w:type="dxa"/>
        </w:tblCellMar>
      </w:tblPr>
      <w:tr>
        <w:trPr>
          <w:trHeight w:val="207"/>
        </w:trPr>
        <w:tc>
          <w:tcPr>
            <w:tcW w:w="33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Per Product Annual Territory- Wide Net</w:t>
            </w:r>
          </w:p>
        </w:tc>
        <w:tc>
          <w:tcPr>
            <w:tcW w:w="33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Marginal Royalty Rate (% of Per</w:t>
            </w:r>
          </w:p>
        </w:tc>
      </w:tr>
      <w:tr>
        <w:trPr>
          <w:trHeight w:val="238"/>
        </w:trPr>
        <w:tc>
          <w:tcPr>
            <w:tcW w:w="33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Product Annual Net Sales)</w:t>
            </w:r>
          </w:p>
        </w:tc>
      </w:tr>
      <w:tr>
        <w:trPr>
          <w:trHeight w:val="228"/>
        </w:trPr>
        <w:tc>
          <w:tcPr>
            <w:tcW w:w="3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Borders>
              <w:right w:val="single" w:sz="8" w:color="auto"/>
            </w:tcBorders>
          </w:tcPr>
          <w:p>
            <w:pPr>
              <w:jc w:val="right"/>
              <w:ind w:right="1850"/>
              <w:spacing w:after="0"/>
              <w:rPr>
                <w:sz w:val="20"/>
                <w:szCs w:val="20"/>
                <w:color w:val="auto"/>
              </w:rPr>
            </w:pPr>
            <w:r>
              <w:rPr>
                <w:rFonts w:ascii="Times New Roman" w:cs="Times New Roman" w:eastAsia="Times New Roman" w:hAnsi="Times New Roman"/>
                <w:sz w:val="18"/>
                <w:szCs w:val="18"/>
                <w:color w:val="auto"/>
              </w:rPr>
              <w:t>14.0%</w:t>
            </w:r>
          </w:p>
        </w:tc>
      </w:tr>
      <w:tr>
        <w:trPr>
          <w:trHeight w:val="90"/>
        </w:trPr>
        <w:tc>
          <w:tcPr>
            <w:tcW w:w="338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right w:val="single" w:sz="8" w:color="auto"/>
            </w:tcBorders>
          </w:tcPr>
          <w:p>
            <w:pPr>
              <w:spacing w:after="0"/>
              <w:rPr>
                <w:sz w:val="7"/>
                <w:szCs w:val="7"/>
                <w:color w:val="auto"/>
              </w:rPr>
            </w:pPr>
          </w:p>
        </w:tc>
      </w:tr>
      <w:tr>
        <w:trPr>
          <w:trHeight w:val="228"/>
        </w:trPr>
        <w:tc>
          <w:tcPr>
            <w:tcW w:w="3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Borders>
              <w:right w:val="single" w:sz="8" w:color="auto"/>
            </w:tcBorders>
          </w:tcPr>
          <w:p>
            <w:pPr>
              <w:jc w:val="right"/>
              <w:ind w:right="1850"/>
              <w:spacing w:after="0"/>
              <w:rPr>
                <w:sz w:val="20"/>
                <w:szCs w:val="20"/>
                <w:color w:val="auto"/>
              </w:rPr>
            </w:pPr>
            <w:r>
              <w:rPr>
                <w:rFonts w:ascii="Times New Roman" w:cs="Times New Roman" w:eastAsia="Times New Roman" w:hAnsi="Times New Roman"/>
                <w:sz w:val="18"/>
                <w:szCs w:val="18"/>
                <w:color w:val="auto"/>
              </w:rPr>
              <w:t>16.0%</w:t>
            </w:r>
          </w:p>
        </w:tc>
      </w:tr>
      <w:tr>
        <w:trPr>
          <w:trHeight w:val="90"/>
        </w:trPr>
        <w:tc>
          <w:tcPr>
            <w:tcW w:w="338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right w:val="single" w:sz="8" w:color="auto"/>
            </w:tcBorders>
          </w:tcPr>
          <w:p>
            <w:pPr>
              <w:spacing w:after="0"/>
              <w:rPr>
                <w:sz w:val="7"/>
                <w:szCs w:val="7"/>
                <w:color w:val="auto"/>
              </w:rPr>
            </w:pPr>
          </w:p>
        </w:tc>
      </w:tr>
      <w:tr>
        <w:trPr>
          <w:trHeight w:val="228"/>
        </w:trPr>
        <w:tc>
          <w:tcPr>
            <w:tcW w:w="3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Borders>
              <w:right w:val="single" w:sz="8" w:color="auto"/>
            </w:tcBorders>
          </w:tcPr>
          <w:p>
            <w:pPr>
              <w:jc w:val="right"/>
              <w:ind w:right="1850"/>
              <w:spacing w:after="0"/>
              <w:rPr>
                <w:sz w:val="20"/>
                <w:szCs w:val="20"/>
                <w:color w:val="auto"/>
              </w:rPr>
            </w:pPr>
            <w:r>
              <w:rPr>
                <w:rFonts w:ascii="Times New Roman" w:cs="Times New Roman" w:eastAsia="Times New Roman" w:hAnsi="Times New Roman"/>
                <w:sz w:val="18"/>
                <w:szCs w:val="18"/>
                <w:color w:val="auto"/>
              </w:rPr>
              <w:t>18.0%</w:t>
            </w:r>
          </w:p>
        </w:tc>
      </w:tr>
      <w:tr>
        <w:trPr>
          <w:trHeight w:val="90"/>
        </w:trPr>
        <w:tc>
          <w:tcPr>
            <w:tcW w:w="338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right w:val="single" w:sz="8" w:color="auto"/>
            </w:tcBorders>
          </w:tcPr>
          <w:p>
            <w:pPr>
              <w:spacing w:after="0"/>
              <w:rPr>
                <w:sz w:val="7"/>
                <w:szCs w:val="7"/>
                <w:color w:val="auto"/>
              </w:rPr>
            </w:pPr>
          </w:p>
        </w:tc>
      </w:tr>
      <w:tr>
        <w:trPr>
          <w:trHeight w:val="228"/>
        </w:trPr>
        <w:tc>
          <w:tcPr>
            <w:tcW w:w="3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Borders>
              <w:right w:val="single" w:sz="8" w:color="auto"/>
            </w:tcBorders>
          </w:tcPr>
          <w:p>
            <w:pPr>
              <w:jc w:val="right"/>
              <w:ind w:right="1850"/>
              <w:spacing w:after="0"/>
              <w:rPr>
                <w:sz w:val="20"/>
                <w:szCs w:val="20"/>
                <w:color w:val="auto"/>
              </w:rPr>
            </w:pPr>
            <w:r>
              <w:rPr>
                <w:rFonts w:ascii="Times New Roman" w:cs="Times New Roman" w:eastAsia="Times New Roman" w:hAnsi="Times New Roman"/>
                <w:sz w:val="18"/>
                <w:szCs w:val="18"/>
                <w:color w:val="auto"/>
              </w:rPr>
              <w:t>20.0%</w:t>
            </w:r>
          </w:p>
        </w:tc>
      </w:tr>
      <w:tr>
        <w:trPr>
          <w:trHeight w:val="90"/>
        </w:trPr>
        <w:tc>
          <w:tcPr>
            <w:tcW w:w="338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right w:val="single" w:sz="8" w:color="auto"/>
            </w:tcBorders>
          </w:tcPr>
          <w:p>
            <w:pPr>
              <w:spacing w:after="0"/>
              <w:rPr>
                <w:sz w:val="7"/>
                <w:szCs w:val="7"/>
                <w:color w:val="auto"/>
              </w:rPr>
            </w:pPr>
          </w:p>
        </w:tc>
      </w:tr>
      <w:tr>
        <w:trPr>
          <w:trHeight w:val="228"/>
        </w:trPr>
        <w:tc>
          <w:tcPr>
            <w:tcW w:w="3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Borders>
              <w:right w:val="single" w:sz="8" w:color="auto"/>
            </w:tcBorders>
          </w:tcPr>
          <w:p>
            <w:pPr>
              <w:jc w:val="right"/>
              <w:ind w:right="1850"/>
              <w:spacing w:after="0"/>
              <w:rPr>
                <w:sz w:val="20"/>
                <w:szCs w:val="20"/>
                <w:color w:val="auto"/>
              </w:rPr>
            </w:pPr>
            <w:r>
              <w:rPr>
                <w:rFonts w:ascii="Times New Roman" w:cs="Times New Roman" w:eastAsia="Times New Roman" w:hAnsi="Times New Roman"/>
                <w:sz w:val="18"/>
                <w:szCs w:val="18"/>
                <w:color w:val="auto"/>
              </w:rPr>
              <w:t>22.0%</w:t>
            </w:r>
          </w:p>
        </w:tc>
      </w:tr>
      <w:tr>
        <w:trPr>
          <w:trHeight w:val="90"/>
        </w:trPr>
        <w:tc>
          <w:tcPr>
            <w:tcW w:w="338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right w:val="single" w:sz="8" w:color="auto"/>
            </w:tcBorders>
          </w:tcPr>
          <w:p>
            <w:pPr>
              <w:spacing w:after="0"/>
              <w:rPr>
                <w:sz w:val="7"/>
                <w:szCs w:val="7"/>
                <w:color w:val="auto"/>
              </w:rPr>
            </w:pPr>
          </w:p>
        </w:tc>
      </w:tr>
    </w:tbl>
    <w:p>
      <w:pPr>
        <w:spacing w:after="0" w:line="30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225" w:right="339" w:bottom="1440" w:gutter="0" w:footer="0" w:header="0"/>
        </w:sectPr>
      </w:pPr>
    </w:p>
    <w:bookmarkStart w:id="112" w:name="page113"/>
    <w:bookmarkEnd w:id="112"/>
    <w:p>
      <w:pPr>
        <w:jc w:val="both"/>
        <w:ind w:firstLine="8"/>
        <w:spacing w:after="0" w:line="268" w:lineRule="auto"/>
        <w:tabs>
          <w:tab w:leader="none" w:pos="485"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283"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2.4 Exhibit A to the Agreement is hereby amended and replaced in its entirety to include the Development Budget set forth on Exhibit A to this Amendment No. 3.</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2.5 Exhibit B to the Agreement is hereby amended and replaced in its entirety to include the Development Plan set forth on Exhibit B to this Amendment No. 3.</w:t>
      </w:r>
    </w:p>
    <w:p>
      <w:pPr>
        <w:spacing w:after="0" w:line="162" w:lineRule="exact"/>
        <w:rPr>
          <w:sz w:val="20"/>
          <w:szCs w:val="20"/>
          <w:color w:val="auto"/>
        </w:rPr>
      </w:pPr>
    </w:p>
    <w:p>
      <w:pPr>
        <w:ind w:left="340" w:hanging="332"/>
        <w:spacing w:after="0" w:line="282" w:lineRule="auto"/>
        <w:tabs>
          <w:tab w:leader="none" w:pos="3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Phase 3 Clinical Trial Start Timing</w:t>
      </w:r>
      <w:r>
        <w:rPr>
          <w:rFonts w:ascii="Times New Roman" w:cs="Times New Roman" w:eastAsia="Times New Roman" w:hAnsi="Times New Roman"/>
          <w:sz w:val="18"/>
          <w:szCs w:val="18"/>
          <w:color w:val="auto"/>
        </w:rPr>
        <w:t>. Effective as of the Subscription Closing, the Parties agree to use good faith efforts to initiate the Phase 3 Clinical Trial described in the Development Plan no later than [***].</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of the Agreement</w:t>
      </w:r>
      <w:r>
        <w:rPr>
          <w:rFonts w:ascii="Times New Roman" w:cs="Times New Roman" w:eastAsia="Times New Roman" w:hAnsi="Times New Roman"/>
          <w:sz w:val="18"/>
          <w:szCs w:val="18"/>
          <w:color w:val="auto"/>
        </w:rPr>
        <w:t>. Except as expressly set forth in Articles 2 and 3 above, the Agreement shall remain unmodified and in full force and effect. The execution, delivery and effectiveness of this Amendment No. 1 shall not, except as expressly provided herein, operate as a waiver of any right, power or remedy of the parties to the Agreement, nor constitute a waiver of any provision of the Agreement.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No. 3 may be executed in any number of counterparts, each of which shall be an original instrument and all of which, when taken together, shall constitute one and the same agreement.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3" w:name="page114"/>
    <w:bookmarkEnd w:id="113"/>
    <w:p>
      <w:pPr>
        <w:jc w:val="both"/>
        <w:ind w:firstLine="8"/>
        <w:spacing w:after="0" w:line="268" w:lineRule="auto"/>
        <w:tabs>
          <w:tab w:leader="none" w:pos="485"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duly authorized representatives of Pfizer and Company have executed this Amendment No. 3 as of the date first above written.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Valneva Austria GmbH</w:t>
            </w:r>
          </w:p>
        </w:tc>
        <w:tc>
          <w:tcPr>
            <w:tcW w:w="1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Pfizer Inc.</w:t>
            </w:r>
          </w:p>
        </w:tc>
      </w:tr>
      <w:tr>
        <w:trPr>
          <w:trHeight w:val="432"/>
        </w:trPr>
        <w:tc>
          <w:tcPr>
            <w:tcW w:w="3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t>
            </w:r>
          </w:p>
        </w:tc>
        <w:tc>
          <w:tcPr>
            <w:tcW w:w="142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t>
            </w:r>
          </w:p>
        </w:tc>
      </w:tr>
      <w:tr>
        <w:trPr>
          <w:trHeight w:val="42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Pr>
          <w:p>
            <w:pPr>
              <w:jc w:val="right"/>
              <w:ind w:right="30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r>
      <w:tr>
        <w:trPr>
          <w:trHeight w:val="43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Managing Director</w:t>
            </w: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 Worldwide Business Development</w:t>
            </w:r>
          </w:p>
        </w:tc>
      </w:tr>
      <w:tr>
        <w:trPr>
          <w:trHeight w:val="432"/>
        </w:trPr>
        <w:tc>
          <w:tcPr>
            <w:tcW w:w="360" w:type="dxa"/>
            <w:vAlign w:val="bottom"/>
          </w:tcPr>
          <w:p>
            <w:pPr>
              <w:spacing w:after="0"/>
              <w:rPr>
                <w:sz w:val="24"/>
                <w:szCs w:val="24"/>
                <w:color w:val="auto"/>
              </w:rPr>
            </w:pPr>
          </w:p>
        </w:tc>
        <w:tc>
          <w:tcPr>
            <w:tcW w:w="362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(Duly authorized)</w:t>
            </w: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(Duly authorized)</w:t>
            </w:r>
          </w:p>
        </w:tc>
      </w:tr>
      <w:tr>
        <w:trPr>
          <w:trHeight w:val="445"/>
        </w:trPr>
        <w:tc>
          <w:tcPr>
            <w:tcW w:w="3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t>
            </w:r>
          </w:p>
        </w:tc>
        <w:tc>
          <w:tcPr>
            <w:tcW w:w="142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42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Pr>
          <w:p>
            <w:pPr>
              <w:jc w:val="right"/>
              <w:ind w:right="30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43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Managing Director</w:t>
            </w: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362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(Duly authorized)</w:t>
            </w: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540"/>
        </w:trPr>
        <w:tc>
          <w:tcPr>
            <w:tcW w:w="3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tc>
      </w:tr>
    </w:tbl>
    <w:p>
      <w:pPr>
        <w:sectPr>
          <w:pgSz w:w="11900" w:h="16838" w:orient="portrait"/>
          <w:cols w:equalWidth="0" w:num="1">
            <w:col w:w="11240"/>
          </w:cols>
          <w:pgMar w:left="320" w:top="225" w:right="339" w:bottom="1440" w:gutter="0" w:footer="0" w:header="0"/>
        </w:sectPr>
      </w:pPr>
    </w:p>
    <w:bookmarkStart w:id="114" w:name="page115"/>
    <w:bookmarkEnd w:id="114"/>
    <w:p>
      <w:pPr>
        <w:jc w:val="both"/>
        <w:ind w:left="-8" w:firstLine="8"/>
        <w:spacing w:after="0" w:line="268" w:lineRule="auto"/>
        <w:tabs>
          <w:tab w:leader="none" w:pos="477"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6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u w:val="single" w:color="auto"/>
          <w:color w:val="auto"/>
        </w:rPr>
        <w:t>Development Budget</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w:t>
      </w:r>
    </w:p>
    <w:p>
      <w:pPr>
        <w:spacing w:after="0" w:line="32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225" w:right="339" w:bottom="1440" w:gutter="0" w:footer="0" w:header="0"/>
        </w:sectPr>
      </w:pPr>
    </w:p>
    <w:bookmarkStart w:id="115" w:name="page116"/>
    <w:bookmarkEnd w:id="115"/>
    <w:p>
      <w:pPr>
        <w:jc w:val="both"/>
        <w:ind w:left="-8" w:firstLine="8"/>
        <w:spacing w:after="0" w:line="268" w:lineRule="auto"/>
        <w:tabs>
          <w:tab w:leader="none" w:pos="477"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6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u w:val="single" w:color="auto"/>
          <w:color w:val="auto"/>
        </w:rPr>
        <w:t>Development Plan</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w:t>
      </w:r>
    </w:p>
    <w:p>
      <w:pPr>
        <w:spacing w:after="0" w:line="32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22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Valneva SE 6-K</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714500" cy="2400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1450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1E3C73"/>
        </w:rPr>
        <w:t>VALNEVA 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A0CD"/>
        </w:rPr>
        <w:t>Campus Bio-Ouest | 6, Rue Alain Bombard</w:t>
      </w:r>
    </w:p>
    <w:p>
      <w:pPr>
        <w:spacing w:after="0"/>
        <w:rPr>
          <w:sz w:val="20"/>
          <w:szCs w:val="20"/>
          <w:color w:val="auto"/>
        </w:rPr>
      </w:pPr>
      <w:r>
        <w:rPr>
          <w:rFonts w:ascii="Arial" w:cs="Arial" w:eastAsia="Arial" w:hAnsi="Arial"/>
          <w:sz w:val="18"/>
          <w:szCs w:val="18"/>
          <w:color w:val="00A0CD"/>
        </w:rPr>
        <w:t xml:space="preserve">44800 Saint-Herblain, </w:t>
      </w:r>
      <w:r>
        <w:rPr>
          <w:rFonts w:ascii="Arial" w:cs="Arial" w:eastAsia="Arial" w:hAnsi="Arial"/>
          <w:sz w:val="18"/>
          <w:szCs w:val="18"/>
          <w:i w:val="1"/>
          <w:iCs w:val="1"/>
          <w:color w:val="00A0CD"/>
        </w:rPr>
        <w:t>France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Valneva Establishes an At-the-Market (ATM) Program on Nasdaq</w:t>
      </w:r>
    </w:p>
    <w:p>
      <w:pPr>
        <w:spacing w:after="0" w:line="200" w:lineRule="exact"/>
        <w:rPr>
          <w:sz w:val="20"/>
          <w:szCs w:val="20"/>
          <w:color w:val="auto"/>
        </w:rPr>
      </w:pPr>
    </w:p>
    <w:p>
      <w:pPr>
        <w:spacing w:after="0" w:line="243"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Saint-Herblain (France), August 15, 2022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Valneva SE</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VALN; Euronext Paris: VLA), a specialty vaccine company,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that it has filed a prospectus supplement with the U.S. Securities and Exchange Commission (“SEC”) relating to an At-the-Market offering (the “ATM Program”). Pursuant to this new financing program, the Company may offer and sell, including with unsolicited investors who have expressed an interest, a total gross amount of up to $75.0 million of American Depositary Shares (“ADS”), each ADS representing two of the Company’s ordinary shares, from time to time in sales deemed to be an “at the market offering” as defined in Rule 415(a)(4) promulgated under the Securities Act of 1933, as amended, and pursuant to the terms of an Open Market Sale Agreement (the “Sales Agreement”) with Jefferies LLC (“Jefferies”), acting as sales agent, subject to French regulatory limits. The timing of any sales will depend on a variety of factors and the Company is not under any obligation to utilize the ATM Program in a specified amount or at all.</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ADSs intended to be sold under the Sales Agreement, if any, will be issued and sold pursuant to a shelf registration statement on Form F-3 (the “Registration Statement”), once declared effective by the SEC.</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To the extent that ADSs are sold pursuant to the ATM Program, the Company currently intends to use the net proceeds (after deduction of fees and expenses), if any, of sales of ADSs issued under the ATM Program, together with its existing cash and cash equivalents, primarily for research and development of the Company’s product candidates, working capital and other general corporate purposes, at the Company’s discretion.</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Jefferies, as sales agent, will use commercially reasonable efforts to arrange on the Company’s behalf for the sale of all ADSs requested to be sold by the Company to eligible investors requesting it, consistent with Jefferies’ normal sales and trading practices. Sales prices may vary based on market prices and other factors. Only eligible investors (as described in greater detail below) may purchase ADSs under the ATM Program.</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ADSs and the underlying ordinary shares will be issued through one or more share capital increases without shareholders’ preferential subscription rights under the provisions of Article L. 225-138 of the French Commercial Code (Code de commerce) and pursuant to and within the limits set forth in the 24th and 28th resolutions adopted by the combined shareholders’ general meeting dated June 23, 2022 (the “General Meeting”) (or any substitute resolutions, adopted from time to time), i.e. a maximum number of 30,666,666 ordinary shares (being the maximum authorized by the shareholders for the 24th resolution), representing a maximum potential dilution of approximately 26.1% based on the existing share capital of the Company. In any event the number of underlying ordinary shares to be admitted on the regulated market of Euronext in Paris (“Euronext Paris”) shall represent, over a period of 12 months, less than 20% of the ordinary shares already admitted to trading on said market without a French listing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0801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08013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7" w:name="page118"/>
    <w:bookmarkEnd w:id="117"/>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714500" cy="2400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1714500" cy="240030"/>
                    </a:xfrm>
                    <a:prstGeom prst="rect">
                      <a:avLst/>
                    </a:prstGeom>
                    <a:noFill/>
                  </pic:spPr>
                </pic:pic>
              </a:graphicData>
            </a:graphic>
          </wp:anchor>
        </w:drawing>
      </w:r>
    </w:p>
    <w:p>
      <w:pPr>
        <w:jc w:val="both"/>
        <w:ind w:right="20"/>
        <w:spacing w:after="0" w:line="271" w:lineRule="auto"/>
        <w:rPr>
          <w:sz w:val="20"/>
          <w:szCs w:val="20"/>
          <w:color w:val="auto"/>
        </w:rPr>
      </w:pPr>
      <w:r>
        <w:rPr>
          <w:rFonts w:ascii="Arial" w:cs="Arial" w:eastAsia="Arial" w:hAnsi="Arial"/>
          <w:sz w:val="18"/>
          <w:szCs w:val="18"/>
          <w:color w:val="auto"/>
        </w:rPr>
        <w:t>The new ordinary shares to be sold in the form of ADSs would be issued in one or more offerings at market prices of the ADSs at the time of pricing of the considered capital increase.</w:t>
      </w:r>
    </w:p>
    <w:p>
      <w:pPr>
        <w:spacing w:after="0" w:line="14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ATM Program may only be issued to the categories of investors defined in the 24th resolution adopted by the General Meeting (or any similar resolutions that may be substituted for it in the future), comprising (i) natural persons or legal entities, including companies, trusts, investment funds or other investment vehicles, regardless of their form, under French or foreign law, investing on a regular basis in the pharmaceutical, biotechnological or medical technology sector, and/or (ii) French or foreign companies, institutions or entities of any form, carrying out a significant portion of their business in the pharmaceutical, cosmetics or chemical sector or in the field of medical devices and/or technologies or research in these areas. The new ordinary shares will be admitted to trading on the regulated market of Euronext in Paris and the issued ADSs will trade on the Nasdaq Global Select Market (“Nasdaq”).</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an illustrative basis, assuming the issuance of the full amount of $75.0 million (or €72.5 million (all convenience translations in this press release are based on an exchange rate of €1.00 = $1.0338, the exchange rate reported by the European Central Bank on August 11, 2022) of ADSs under the ATM Program at an assumed offering price of $20.83 per ADS (or €10.03 per ordinary share), the last reported sale price of the ADSs on Nasdaq on August 11, 2022, a holder of 1.0% of the outstanding Company’s share capital as of the date of this press release, would hold 0.99% of the outstanding Company’s share capital after the completion of the transaction (calculated on the basis of the number of outstanding shares on the date of publication of this press release), it being specified that, in any event, the number of underlying ordinary shares shall not exceed the limit set forth in the 24th resolution adopted by the General Meeting (or any substitute resolutions, adopted from time to time) and shall represent, over a period of 12 months, less than 20% of the ordinary shares already admitted to trading on said market without a listing prospectus.</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term of the ATM Program, the Company will include information in the publication of its half-year and full-year financial reports about its use of the ATM Program during the preceding period and will also provide an update after each capital increase on a dedicated location on its corporate website in order to inform investors about the main features of each issue that may be completed under the ATM Program from time to time.</w:t>
      </w:r>
    </w:p>
    <w:p>
      <w:pPr>
        <w:spacing w:after="0" w:line="16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Registration Statement (including a prospectus) relating to Valneva’s securities, including the ADSs, was filed with the SEC on August 12, 2022 but has not yet been declared effective. No offers or sales of ADSs under the ATM Program can be made until the Registration Statement is declared effective by the SEC. Before purchasing ADSs in an offering, prospective investors should read the prospectus supplement and the accompanying prospectus, together with the documents incorporated by reference therein. Prospective investors may obtain these documents for free by visiting EDGAR on the SEC’s website at www.sec.gov. Alternatively, a copy of the prospectus supplement (and accompanying prospectus) relating to the offering may be obtained from Jefferies LLC, 520 Madison Avenue, New York, NY 10022 or by telephone at (877) 821-7388 or by email at Prospectus_Department@Jefferies.com. No prospectus will be subject to the approval of the French Financial Markets Authority (the Autorité des Marchés Financiers or the “AMF”) pursuant to Regulation (EU) 2017/1129 of the European Parliament and of the Council dated June 14, 2017, as amended (the “Prospectus Regulation”) since the contemplated share capital increase(s) (for the issuance of the ordinary shares underlying the ADSs) would be offered to qualified investors (as such term is defined in Article 2(e) of the Prospectus Regulation) and fall under the exemption provided for in Article 1(5)(a) of the Prospectus Regulation which states that the obligation to publish a prospectus shall not apply to admission to trading on a regulated market of securities fungible with securities already admitted to trading on the same regulated market, provided that they represent, over a period of 12 months, less than 20% of the number of securities already admitted to trading on the same regulated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0801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08013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714500" cy="2400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1714500" cy="240030"/>
                    </a:xfrm>
                    <a:prstGeom prst="rect">
                      <a:avLst/>
                    </a:prstGeom>
                    <a:noFill/>
                  </pic:spPr>
                </pic:pic>
              </a:graphicData>
            </a:graphic>
          </wp:anchor>
        </w:drawing>
      </w:r>
    </w:p>
    <w:p>
      <w:pPr>
        <w:jc w:val="both"/>
        <w:spacing w:after="0" w:line="253" w:lineRule="auto"/>
        <w:rPr>
          <w:sz w:val="20"/>
          <w:szCs w:val="20"/>
          <w:color w:val="auto"/>
        </w:rPr>
      </w:pPr>
      <w:r>
        <w:rPr>
          <w:rFonts w:ascii="Arial" w:cs="Arial" w:eastAsia="Arial" w:hAnsi="Arial"/>
          <w:sz w:val="18"/>
          <w:szCs w:val="18"/>
          <w:color w:val="auto"/>
        </w:rP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 In particular, no public offering of the ADSs will be made in Europe.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Available to the Public</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Detailed information concerning the Company, in particular with regard to its business, results, forecasts and corresponding risk factors, is provided in the Company’s Annual Report on Form 20-F (the “Annual Report”), filed with the SEC on March 24, 2022, as well as in the half-yearly financial report (containing an update of the main information on the Company, its development and its projects) (the “Half-Year Report”), and documents filed with the SEC from time to time (the “SEC Filings”). The Annual Report and SEC Filings are available on the SEC’s website (www.sec.gov). The Company’s Universal Registration Document filed with the AMF on March 23, 2022 under number D.22-0140 and the Company’s half year report published on its website on August 11, 2022 as well as other regulated information are available on the AMF website (www.amf-france.org). All of the foregoing documents are available on the Company’s website and are available free of charge on request at the Company’s registered office at 6 rue Alain Bombard, 44800 Saint-Herblain, France.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Valneva SE</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Valneva is a specialty vaccine company focused on the development and commercialization of prophylactic vaccines for infectious diseases with significant unmet medical need. The Company takes a highly specialized and targeted approach to vaccine development and then applies its deep understanding of vaccine science to develop prophylactic vaccines addressing these diseases. Valneva has leveraged its expertise and capabilities both to successfully commercialize two vaccines and to rapidly advance a broad range of vaccine candidates into and through the clinic, including candidates against Lyme disease, the chikungunya virus and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0801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08013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714500" cy="2400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1714500" cy="2400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certain forward-looking statements relating to the business of Valneva, including with respect to the proposed ATM Program and the expected use of proceeds, if any, from the ATM Program. In addition, even if the actual results or development of Valneva are consistent with the forward-looking statements contained in this press release, those results or developments of Valneva may not be sustained in the future. In some cases, you can identify forward-looking statements by words such as “could,” “should,” “may,” “expects,” “anticipates,” “believes,” “intends,” “estimates,” “aims,” “targets,” or similar words. These forward-looking statements are based largely on the current expectations of Valneva as of the date of this press release and are subject to a number of known and unknown risks and uncertainties and other factors that may cause actual results, performance or achievements to be materially different from any future results, performance or achievement expressed or implied by these forward-looking statements. In particular, the expectations of Valneva could be affected by, among other things, market conditions as well as uncertainties involved in the development and manufacture of vaccines, unexpected clinical trial results, unexpected regulatory actions or delays, competition in general, currency fluctuations, the impact of the global and European credit crisis, and the ability to obtain or maintain patent or other proprietary intellectual property protection. Success in preclinical studies or earlier clinical trials may not be indicative of results in future clinical trials. In light of these risks and uncertainties, there can be no assurance that the forward-looking statements made during this presentation will in fact be realized. Valneva is providing the information in these materials as of this press release, and disclaim any intention or obligation to publicly update or revise any forward-looking statements, whether as a result of new information, future events, or otherwise.</w:t>
      </w:r>
    </w:p>
    <w:p>
      <w:pPr>
        <w:sectPr>
          <w:pgSz w:w="11900" w:h="16838" w:orient="portrait"/>
          <w:cols w:equalWidth="0" w:num="1">
            <w:col w:w="11240"/>
          </w:cols>
          <w:pgMar w:left="320" w:top="1440" w:right="339" w:bottom="1440" w:gutter="0" w:footer="0" w:header="0"/>
        </w:sect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&amp; Investor Contacts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Laëtitia Bachelot-Fontaine</w:t>
      </w:r>
    </w:p>
    <w:p>
      <w:pPr>
        <w:spacing w:after="0" w:line="234" w:lineRule="auto"/>
        <w:rPr>
          <w:sz w:val="20"/>
          <w:szCs w:val="20"/>
          <w:color w:val="auto"/>
        </w:rPr>
      </w:pPr>
      <w:r>
        <w:rPr>
          <w:rFonts w:ascii="Arial" w:cs="Arial" w:eastAsia="Arial" w:hAnsi="Arial"/>
          <w:sz w:val="18"/>
          <w:szCs w:val="18"/>
          <w:color w:val="auto"/>
        </w:rPr>
        <w:t>VP Global Communications &amp; European Investor Relations</w:t>
      </w:r>
    </w:p>
    <w:p>
      <w:pPr>
        <w:spacing w:after="0" w:line="235" w:lineRule="auto"/>
        <w:rPr>
          <w:sz w:val="20"/>
          <w:szCs w:val="20"/>
          <w:color w:val="auto"/>
        </w:rPr>
      </w:pPr>
      <w:r>
        <w:rPr>
          <w:rFonts w:ascii="Arial" w:cs="Arial" w:eastAsia="Arial" w:hAnsi="Arial"/>
          <w:sz w:val="18"/>
          <w:szCs w:val="18"/>
          <w:color w:val="auto"/>
        </w:rPr>
        <w:t>M +33 (0)6 4516 7099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laetitia.bachelot-fontaine@valneva.com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Joshua Drumm,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Global Investor Relations</w:t>
      </w:r>
    </w:p>
    <w:p>
      <w:pPr>
        <w:spacing w:after="0" w:line="234" w:lineRule="auto"/>
        <w:rPr>
          <w:sz w:val="20"/>
          <w:szCs w:val="20"/>
          <w:color w:val="auto"/>
        </w:rPr>
      </w:pPr>
      <w:r>
        <w:rPr>
          <w:rFonts w:ascii="Arial" w:cs="Arial" w:eastAsia="Arial" w:hAnsi="Arial"/>
          <w:sz w:val="18"/>
          <w:szCs w:val="18"/>
          <w:color w:val="auto"/>
        </w:rPr>
        <w:t>M +001 917 815 4520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joshua.drumm@valneva.com</w:t>
      </w:r>
    </w:p>
    <w:p>
      <w:pPr>
        <w:spacing w:after="0" w:line="191" w:lineRule="exact"/>
        <w:rPr>
          <w:sz w:val="20"/>
          <w:szCs w:val="20"/>
          <w:color w:val="auto"/>
        </w:rPr>
      </w:pPr>
    </w:p>
    <w:p>
      <w:pPr>
        <w:sectPr>
          <w:pgSz w:w="11900" w:h="16838" w:orient="portrait"/>
          <w:cols w:equalWidth="0" w:num="2">
            <w:col w:w="5140" w:space="720"/>
            <w:col w:w="538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Disclaimer</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This announcement does not, and shall not, in any circumstances constitute a public offering nor an invitation to solicit the interest of the public in France, the United States, or in any other jurisdiction, in connection with any offer.</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distribution of this document may, in certain jurisdictions, be restricted by local legislations. Persons into whose possession this document comes are required to inform themselves about and to observe any such potential local restrictions.</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announcement is not an advertisement and not a prospectus within the meaning of Regulation (EU) 2017/1129 (the “EU Prospectus Regulation”).</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document does not constitute an offer to the public in France and the securities referred to in this document can only be offered or sold in France pursuant to article L. 411-2- of the French Monetary and Financial Code to qualified investors (investisseurs qualifiés) as defined in Article 2(e) of the EU Prospectus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0801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08013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0" w:name="page121"/>
    <w:bookmarkEnd w:id="120"/>
    <w:p>
      <w:pPr>
        <w:spacing w:after="0" w:line="3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1714500" cy="2400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1714500" cy="240030"/>
                    </a:xfrm>
                    <a:prstGeom prst="rect">
                      <a:avLst/>
                    </a:prstGeom>
                    <a:noFill/>
                  </pic:spPr>
                </pic:pic>
              </a:graphicData>
            </a:graphic>
          </wp:anchor>
        </w:drawing>
      </w:r>
    </w:p>
    <w:p>
      <w:pPr>
        <w:jc w:val="both"/>
        <w:spacing w:after="0" w:line="242" w:lineRule="auto"/>
        <w:rPr>
          <w:sz w:val="20"/>
          <w:szCs w:val="20"/>
          <w:color w:val="auto"/>
        </w:rPr>
      </w:pPr>
      <w:r>
        <w:rPr>
          <w:rFonts w:ascii="Arial" w:cs="Arial" w:eastAsia="Arial" w:hAnsi="Arial"/>
          <w:sz w:val="18"/>
          <w:szCs w:val="18"/>
          <w:color w:val="auto"/>
        </w:rPr>
        <w:t>With respect to the Member States of the European Economic Area, no action has been undertaken or will be undertaken to make an offer to the public of the securities referred to herein requiring a publication of a prospectus in any relevant Member State. As a result, the securities may not and will not be offered in any relevant Member State except in accordance with the exemptions set forth in Article 1(4) of the EU Prospectus Regulation or under any other circumstances which do not require the publication by the Company of a prospectus pursuant to Article 3 of the EU Prospectus Regulation or supplement a prospectus pursuant to Article 23 of the EU Prospectus Regulation and/or to applicable regulations of that relevant Member State.</w:t>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No action has been undertaken or will be undertaken to make an offer to the public of the securities referred to herein requiring a publication of a prospectus in the United Kingdom. As a result, the securities may not and will not be offered in the United Kingdom except in accordance with the exemptions set forth in Section 86 of the Financial Services and Markets Act 2000 (the “FSMA”) or under any other circumstances which do not require the publication by the Company of a prospectus pursuant to Section 85 of the FSMA or supplement a prospectus pursuant to Article 23 of the EU Prospectus Regulation as it forms part of domestic law in the United Kingdom by virtue of the European Union (Withdrawal) Act 2018 (the “UK Prospectus Regulation”).</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UK Prospectus Regulation) who (i) are “investment professionals” (people with professional investment experience) falling within Article 19(5) of the Financial Services and Markets Act 2000 (Financial Promotion) Order 2005 (as amended, the “Order”), (ii) are persons falling within Article 49(2)(a) to (d) (“high net worth companies, unincorporated associations, etc.”) of the Order, or (iii) are persons to whom an invitation or inducement to engage in investment activity (within the meaning of Article 21 of the Financial Services and Markets Act 2000)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0801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08013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55A5F5"/>
    <w:multiLevelType w:val="hybridMultilevel"/>
    <w:lvl w:ilvl="0">
      <w:lvlJc w:val="left"/>
      <w:lvlText w:val="(%1)"/>
      <w:numFmt w:val="lowerLetter"/>
      <w:start w:val="1"/>
    </w:lvl>
  </w:abstractNum>
  <w:abstractNum w:abstractNumId="1">
    <w:nsid w:val="5FB8370B"/>
    <w:multiLevelType w:val="hybridMultilevel"/>
    <w:lvl w:ilvl="0">
      <w:lvlJc w:val="left"/>
      <w:lvlText w:val="(%1)"/>
      <w:numFmt w:val="decimal"/>
      <w:start w:val="90"/>
    </w:lvl>
  </w:abstractNum>
  <w:abstractNum w:abstractNumId="2">
    <w:nsid w:val="50801EE1"/>
    <w:multiLevelType w:val="hybridMultilevel"/>
    <w:lvl w:ilvl="0">
      <w:lvlJc w:val="left"/>
      <w:lvlText w:val="(%1)"/>
      <w:numFmt w:val="lowerLetter"/>
      <w:start w:val="1"/>
    </w:lvl>
  </w:abstractNum>
  <w:abstractNum w:abstractNumId="3">
    <w:nsid w:val="488AC1A"/>
    <w:multiLevelType w:val="hybridMultilevel"/>
    <w:lvl w:ilvl="0">
      <w:lvlJc w:val="left"/>
      <w:lvlText w:val="(%1)"/>
      <w:numFmt w:val="lowerLetter"/>
      <w:start w:val="2"/>
    </w:lvl>
  </w:abstractNum>
  <w:abstractNum w:abstractNumId="4">
    <w:nsid w:val="5FB8011C"/>
    <w:multiLevelType w:val="hybridMultilevel"/>
    <w:lvl w:ilvl="0">
      <w:lvlJc w:val="left"/>
      <w:lvlText w:val="(%1)"/>
      <w:numFmt w:val="lowerLetter"/>
      <w:start w:val="3"/>
    </w:lvl>
  </w:abstractNum>
  <w:abstractNum w:abstractNumId="5">
    <w:nsid w:val="6AA78F7F"/>
    <w:multiLevelType w:val="hybridMultilevel"/>
    <w:lvl w:ilvl="0">
      <w:lvlJc w:val="left"/>
      <w:lvlText w:val="(%1)"/>
      <w:numFmt w:val="lowerLetter"/>
      <w:start w:val="5"/>
    </w:lvl>
  </w:abstractNum>
  <w:abstractNum w:abstractNumId="6">
    <w:nsid w:val="7672BD23"/>
    <w:multiLevelType w:val="hybridMultilevel"/>
    <w:lvl w:ilvl="0">
      <w:lvlJc w:val="left"/>
      <w:lvlText w:val="%1"/>
      <w:numFmt w:val="lowerLetter"/>
      <w:start w:val="1"/>
    </w:lvl>
    <w:lvl w:ilvl="1">
      <w:lvlJc w:val="left"/>
      <w:lvlText w:val="(%2)"/>
      <w:numFmt w:val="lowerLetter"/>
      <w:start w:val="8"/>
    </w:lvl>
  </w:abstractNum>
  <w:abstractNum w:abstractNumId="7">
    <w:nsid w:val="6FC75AF8"/>
    <w:multiLevelType w:val="hybridMultilevel"/>
    <w:lvl w:ilvl="0">
      <w:lvlJc w:val="left"/>
      <w:lvlText w:val="(%1)"/>
      <w:numFmt w:val="lowerLetter"/>
      <w:start w:val="35"/>
    </w:lvl>
    <w:lvl w:ilvl="1">
      <w:lvlJc w:val="left"/>
      <w:lvlText w:val="(%2)"/>
      <w:numFmt w:val="lowerLetter"/>
      <w:start w:val="9"/>
    </w:lvl>
  </w:abstractNum>
  <w:abstractNum w:abstractNumId="8">
    <w:nsid w:val="6A5F7029"/>
    <w:multiLevelType w:val="hybridMultilevel"/>
    <w:lvl w:ilvl="0">
      <w:lvlJc w:val="left"/>
      <w:lvlText w:val="(%1)"/>
      <w:numFmt w:val="lowerLetter"/>
      <w:start w:val="3"/>
    </w:lvl>
    <w:lvl w:ilvl="1">
      <w:lvlJc w:val="left"/>
      <w:lvlText w:val="(%2)"/>
      <w:numFmt w:val="lowerLetter"/>
      <w:start w:val="10"/>
    </w:lvl>
  </w:abstractNum>
  <w:abstractNum w:abstractNumId="9">
    <w:nsid w:val="7D5E18F8"/>
    <w:multiLevelType w:val="hybridMultilevel"/>
    <w:lvl w:ilvl="0">
      <w:lvlJc w:val="left"/>
      <w:lvlText w:val="(%1)"/>
      <w:numFmt w:val="lowerLetter"/>
      <w:start w:val="13"/>
    </w:lvl>
  </w:abstractNum>
  <w:abstractNum w:abstractNumId="10">
    <w:nsid w:val="5F3534A4"/>
    <w:multiLevelType w:val="hybridMultilevel"/>
    <w:lvl w:ilvl="0">
      <w:lvlJc w:val="left"/>
      <w:lvlText w:val="(%1)"/>
      <w:numFmt w:val="lowerLetter"/>
      <w:start w:val="14"/>
    </w:lvl>
  </w:abstractNum>
  <w:abstractNum w:abstractNumId="11">
    <w:nsid w:val="73A1821B"/>
    <w:multiLevelType w:val="hybridMultilevel"/>
    <w:lvl w:ilvl="0">
      <w:lvlJc w:val="left"/>
      <w:lvlText w:val="(%1)"/>
      <w:numFmt w:val="lowerLetter"/>
      <w:start w:val="15"/>
    </w:lvl>
  </w:abstractNum>
  <w:abstractNum w:abstractNumId="12">
    <w:nsid w:val="7DE67713"/>
    <w:multiLevelType w:val="hybridMultilevel"/>
    <w:lvl w:ilvl="0">
      <w:lvlJc w:val="left"/>
      <w:lvlText w:val="(%1)"/>
      <w:numFmt w:val="lowerLetter"/>
      <w:start w:val="18"/>
    </w:lvl>
  </w:abstractNum>
  <w:abstractNum w:abstractNumId="13">
    <w:nsid w:val="555C55B5"/>
    <w:multiLevelType w:val="hybridMultilevel"/>
    <w:lvl w:ilvl="0">
      <w:lvlJc w:val="left"/>
      <w:lvlText w:val="(%1)"/>
      <w:numFmt w:val="lowerLetter"/>
      <w:start w:val="22"/>
    </w:lvl>
  </w:abstractNum>
  <w:abstractNum w:abstractNumId="14">
    <w:nsid w:val="3FA62ACA"/>
    <w:multiLevelType w:val="hybridMultilevel"/>
    <w:lvl w:ilvl="0">
      <w:lvlJc w:val="left"/>
      <w:lvlText w:val="(%1)"/>
      <w:numFmt w:val="lowerLetter"/>
      <w:start w:val="26"/>
    </w:lvl>
  </w:abstractNum>
  <w:abstractNum w:abstractNumId="15">
    <w:nsid w:val="14FCE74E"/>
    <w:multiLevelType w:val="hybridMultilevel"/>
    <w:lvl w:ilvl="0">
      <w:lvlJc w:val="left"/>
      <w:lvlText w:val="(%1)"/>
      <w:numFmt w:val="lowerLetter"/>
      <w:start w:val="27"/>
    </w:lvl>
  </w:abstractNum>
  <w:abstractNum w:abstractNumId="16">
    <w:nsid w:val="6A3DD3E8"/>
    <w:multiLevelType w:val="hybridMultilevel"/>
    <w:lvl w:ilvl="0">
      <w:lvlJc w:val="left"/>
      <w:lvlText w:val="(%1)"/>
      <w:numFmt w:val="lowerLetter"/>
      <w:start w:val="31"/>
    </w:lvl>
  </w:abstractNum>
  <w:abstractNum w:abstractNumId="17">
    <w:nsid w:val="71C91298"/>
    <w:multiLevelType w:val="hybridMultilevel"/>
    <w:lvl w:ilvl="0">
      <w:lvlJc w:val="left"/>
      <w:lvlText w:val="(%1)"/>
      <w:numFmt w:val="lowerLetter"/>
      <w:start w:val="35"/>
    </w:lvl>
  </w:abstractNum>
  <w:abstractNum w:abstractNumId="18">
    <w:nsid w:val="9DAF632"/>
    <w:multiLevelType w:val="hybridMultilevel"/>
    <w:lvl w:ilvl="0">
      <w:lvlJc w:val="left"/>
      <w:lvlText w:val="(%1)"/>
      <w:numFmt w:val="lowerLetter"/>
      <w:start w:val="37"/>
    </w:lvl>
  </w:abstractNum>
  <w:abstractNum w:abstractNumId="19">
    <w:nsid w:val="53299938"/>
    <w:multiLevelType w:val="hybridMultilevel"/>
    <w:lvl w:ilvl="0">
      <w:lvlJc w:val="left"/>
      <w:lvlText w:val="%1"/>
      <w:numFmt w:val="lowerRoman"/>
      <w:start w:val="1"/>
    </w:lvl>
    <w:lvl w:ilvl="1">
      <w:lvlJc w:val="left"/>
      <w:lvlText w:val="(%2)"/>
      <w:numFmt w:val="lowerLetter"/>
      <w:start w:val="40"/>
    </w:lvl>
  </w:abstractNum>
  <w:abstractNum w:abstractNumId="20">
    <w:nsid w:val="1FBFE8E0"/>
    <w:multiLevelType w:val="hybridMultilevel"/>
    <w:lvl w:ilvl="0">
      <w:lvlJc w:val="left"/>
      <w:lvlText w:val="(%1)"/>
      <w:numFmt w:val="lowerRoman"/>
      <w:start w:val="2"/>
    </w:lvl>
    <w:lvl w:ilvl="1">
      <w:lvlJc w:val="left"/>
      <w:lvlText w:val="%2"/>
      <w:numFmt w:val="lowerLetter"/>
      <w:start w:val="1"/>
    </w:lvl>
  </w:abstractNum>
  <w:abstractNum w:abstractNumId="21">
    <w:nsid w:val="5092CA79"/>
    <w:multiLevelType w:val="hybridMultilevel"/>
    <w:lvl w:ilvl="0">
      <w:lvlJc w:val="left"/>
      <w:lvlText w:val="(%1)"/>
      <w:numFmt w:val="lowerRoman"/>
      <w:start w:val="7"/>
    </w:lvl>
    <w:lvl w:ilvl="1">
      <w:lvlJc w:val="left"/>
      <w:lvlText w:val="%2"/>
      <w:numFmt w:val="lowerLetter"/>
      <w:start w:val="1"/>
    </w:lvl>
  </w:abstractNum>
  <w:abstractNum w:abstractNumId="22">
    <w:nsid w:val="1D545C4D"/>
    <w:multiLevelType w:val="hybridMultilevel"/>
    <w:lvl w:ilvl="0">
      <w:lvlJc w:val="left"/>
      <w:lvlText w:val="(%1)"/>
      <w:numFmt w:val="lowerLetter"/>
      <w:start w:val="41"/>
    </w:lvl>
  </w:abstractNum>
  <w:abstractNum w:abstractNumId="23">
    <w:nsid w:val="59ADEA3D"/>
    <w:multiLevelType w:val="hybridMultilevel"/>
    <w:lvl w:ilvl="0">
      <w:lvlJc w:val="left"/>
      <w:lvlText w:val="(%1)"/>
      <w:numFmt w:val="lowerLetter"/>
      <w:start w:val="43"/>
    </w:lvl>
  </w:abstractNum>
  <w:abstractNum w:abstractNumId="24">
    <w:nsid w:val="288F1A34"/>
    <w:multiLevelType w:val="hybridMultilevel"/>
    <w:lvl w:ilvl="0">
      <w:lvlJc w:val="left"/>
      <w:lvlText w:val="(%1)"/>
      <w:numFmt w:val="lowerLetter"/>
      <w:start w:val="47"/>
    </w:lvl>
  </w:abstractNum>
  <w:abstractNum w:abstractNumId="25">
    <w:nsid w:val="2A155DBC"/>
    <w:multiLevelType w:val="hybridMultilevel"/>
    <w:lvl w:ilvl="0">
      <w:lvlJc w:val="left"/>
      <w:lvlText w:val="(%1)"/>
      <w:numFmt w:val="lowerLetter"/>
      <w:start w:val="51"/>
    </w:lvl>
  </w:abstractNum>
  <w:abstractNum w:abstractNumId="26">
    <w:nsid w:val="1D9F6E5F"/>
    <w:multiLevelType w:val="hybridMultilevel"/>
    <w:lvl w:ilvl="0">
      <w:lvlJc w:val="left"/>
      <w:lvlText w:val="(%1)"/>
      <w:numFmt w:val="lowerLetter"/>
      <w:start w:val="53"/>
    </w:lvl>
  </w:abstractNum>
  <w:abstractNum w:abstractNumId="27">
    <w:nsid w:val="97E1B4E"/>
    <w:multiLevelType w:val="hybridMultilevel"/>
    <w:lvl w:ilvl="0">
      <w:lvlJc w:val="left"/>
      <w:lvlText w:val="(%1)"/>
      <w:numFmt w:val="lowerLetter"/>
      <w:start w:val="55"/>
    </w:lvl>
  </w:abstractNum>
  <w:abstractNum w:abstractNumId="28">
    <w:nsid w:val="51088277"/>
    <w:multiLevelType w:val="hybridMultilevel"/>
    <w:lvl w:ilvl="0">
      <w:lvlJc w:val="left"/>
      <w:lvlText w:val="(%1)"/>
      <w:numFmt w:val="lowerLetter"/>
      <w:start w:val="62"/>
    </w:lvl>
  </w:abstractNum>
  <w:abstractNum w:abstractNumId="29">
    <w:nsid w:val="1CA0C5FA"/>
    <w:multiLevelType w:val="hybridMultilevel"/>
    <w:lvl w:ilvl="0">
      <w:lvlJc w:val="left"/>
      <w:lvlText w:val="(%1)"/>
      <w:numFmt w:val="lowerLetter"/>
      <w:start w:val="1"/>
    </w:lvl>
  </w:abstractNum>
  <w:abstractNum w:abstractNumId="30">
    <w:nsid w:val="53584BCB"/>
    <w:multiLevelType w:val="hybridMultilevel"/>
    <w:lvl w:ilvl="0">
      <w:lvlJc w:val="left"/>
      <w:lvlText w:val="(%1)"/>
      <w:numFmt w:val="lowerLetter"/>
      <w:start w:val="2"/>
    </w:lvl>
  </w:abstractNum>
  <w:abstractNum w:abstractNumId="31">
    <w:nsid w:val="415E286C"/>
    <w:multiLevelType w:val="hybridMultilevel"/>
    <w:lvl w:ilvl="0">
      <w:lvlJc w:val="left"/>
      <w:lvlText w:val="(%1)"/>
      <w:numFmt w:val="lowerRoman"/>
      <w:start w:val="1"/>
    </w:lvl>
  </w:abstractNum>
  <w:abstractNum w:abstractNumId="32">
    <w:nsid w:val="7C58FD05"/>
    <w:multiLevelType w:val="hybridMultilevel"/>
    <w:lvl w:ilvl="0">
      <w:lvlJc w:val="left"/>
      <w:lvlText w:val="(%1)"/>
      <w:numFmt w:val="lowerRoman"/>
      <w:start w:val="3"/>
    </w:lvl>
  </w:abstractNum>
  <w:abstractNum w:abstractNumId="33">
    <w:nsid w:val="23D86AAC"/>
    <w:multiLevelType w:val="hybridMultilevel"/>
    <w:lvl w:ilvl="0">
      <w:lvlJc w:val="left"/>
      <w:lvlText w:val="(%1)"/>
      <w:numFmt w:val="lowerRoman"/>
      <w:start w:val="4"/>
    </w:lvl>
  </w:abstractNum>
  <w:abstractNum w:abstractNumId="34">
    <w:nsid w:val="45E6D486"/>
    <w:multiLevelType w:val="hybridMultilevel"/>
    <w:lvl w:ilvl="0">
      <w:lvlJc w:val="left"/>
      <w:lvlText w:val="(%1)"/>
      <w:numFmt w:val="lowerRoman"/>
      <w:start w:val="6"/>
    </w:lvl>
  </w:abstractNum>
  <w:abstractNum w:abstractNumId="35">
    <w:nsid w:val="5C10FE21"/>
    <w:multiLevelType w:val="hybridMultilevel"/>
    <w:lvl w:ilvl="0">
      <w:lvlJc w:val="left"/>
      <w:lvlText w:val="(%1)"/>
      <w:numFmt w:val="lowerRoman"/>
      <w:start w:val="7"/>
    </w:lvl>
    <w:lvl w:ilvl="1">
      <w:lvlJc w:val="left"/>
      <w:lvlText w:val="(%2)"/>
      <w:numFmt w:val="upperLetter"/>
      <w:start w:val="1"/>
    </w:lvl>
  </w:abstractNum>
  <w:abstractNum w:abstractNumId="36">
    <w:nsid w:val="E7FFA2B"/>
    <w:multiLevelType w:val="hybridMultilevel"/>
    <w:lvl w:ilvl="0">
      <w:lvlJc w:val="left"/>
      <w:lvlText w:val="(%1)"/>
      <w:numFmt w:val="lowerRoman"/>
      <w:start w:val="9"/>
    </w:lvl>
  </w:abstractNum>
  <w:abstractNum w:abstractNumId="37">
    <w:nsid w:val="3C5991AA"/>
    <w:multiLevelType w:val="hybridMultilevel"/>
    <w:lvl w:ilvl="0">
      <w:lvlJc w:val="left"/>
      <w:lvlText w:val="(%1)"/>
      <w:numFmt w:val="lowerLetter"/>
      <w:start w:val="3"/>
    </w:lvl>
  </w:abstractNum>
  <w:abstractNum w:abstractNumId="38">
    <w:nsid w:val="4BD8591A"/>
    <w:multiLevelType w:val="hybridMultilevel"/>
    <w:lvl w:ilvl="0">
      <w:lvlJc w:val="left"/>
      <w:lvlText w:val="(%1)"/>
      <w:numFmt w:val="lowerLetter"/>
      <w:start w:val="1"/>
    </w:lvl>
  </w:abstractNum>
  <w:abstractNum w:abstractNumId="39">
    <w:nsid w:val="78DF6A55"/>
    <w:multiLevelType w:val="hybridMultilevel"/>
    <w:lvl w:ilvl="0">
      <w:lvlJc w:val="left"/>
      <w:lvlText w:val="(%1)"/>
      <w:numFmt w:val="lowerLetter"/>
      <w:start w:val="3"/>
    </w:lvl>
  </w:abstractNum>
  <w:abstractNum w:abstractNumId="40">
    <w:nsid w:val="39B7AAA2"/>
    <w:multiLevelType w:val="hybridMultilevel"/>
    <w:lvl w:ilvl="0">
      <w:lvlJc w:val="left"/>
      <w:lvlText w:val="(%1)"/>
      <w:numFmt w:val="lowerLetter"/>
      <w:start w:val="6"/>
    </w:lvl>
  </w:abstractNum>
  <w:abstractNum w:abstractNumId="41">
    <w:nsid w:val="2B0D8DBE"/>
    <w:multiLevelType w:val="hybridMultilevel"/>
    <w:lvl w:ilvl="0">
      <w:lvlJc w:val="left"/>
      <w:lvlText w:val="%1"/>
      <w:numFmt w:val="lowerLetter"/>
      <w:start w:val="1"/>
    </w:lvl>
    <w:lvl w:ilvl="1">
      <w:lvlJc w:val="left"/>
      <w:lvlText w:val="(%2)"/>
      <w:numFmt w:val="lowerLetter"/>
      <w:start w:val="9"/>
    </w:lvl>
  </w:abstractNum>
  <w:abstractNum w:abstractNumId="42">
    <w:nsid w:val="6C80EC70"/>
    <w:multiLevelType w:val="hybridMultilevel"/>
    <w:lvl w:ilvl="0">
      <w:lvlJc w:val="left"/>
      <w:lvlText w:val="(%1)"/>
      <w:numFmt w:val="lowerLetter"/>
      <w:start w:val="2"/>
    </w:lvl>
    <w:lvl w:ilvl="1">
      <w:lvlJc w:val="left"/>
      <w:lvlText w:val="(%2)"/>
      <w:numFmt w:val="lowerLetter"/>
      <w:start w:val="13"/>
    </w:lvl>
  </w:abstractNum>
  <w:abstractNum w:abstractNumId="43">
    <w:nsid w:val="379E21B5"/>
    <w:multiLevelType w:val="hybridMultilevel"/>
    <w:lvl w:ilvl="0">
      <w:lvlJc w:val="left"/>
      <w:lvlText w:val="%1"/>
      <w:numFmt w:val="lowerLetter"/>
      <w:start w:val="1"/>
    </w:lvl>
    <w:lvl w:ilvl="1">
      <w:lvlJc w:val="left"/>
      <w:lvlText w:val="(%2)"/>
      <w:numFmt w:val="lowerLetter"/>
      <w:start w:val="15"/>
    </w:lvl>
    <w:lvl w:ilvl="2">
      <w:lvlJc w:val="left"/>
      <w:lvlText w:val="%3"/>
      <w:numFmt w:val="upperLetter"/>
      <w:start w:val="1"/>
    </w:lvl>
  </w:abstractNum>
  <w:abstractNum w:abstractNumId="44">
    <w:nsid w:val="69E373"/>
    <w:multiLevelType w:val="hybridMultilevel"/>
    <w:lvl w:ilvl="0">
      <w:lvlJc w:val="left"/>
      <w:lvlText w:val="(%1)"/>
      <w:numFmt w:val="lowerLetter"/>
      <w:start w:val="35"/>
    </w:lvl>
    <w:lvl w:ilvl="1">
      <w:lvlJc w:val="left"/>
      <w:lvlText w:val="(%2)"/>
      <w:numFmt w:val="lowerLetter"/>
      <w:start w:val="16"/>
    </w:lvl>
    <w:lvl w:ilvl="2">
      <w:lvlJc w:val="left"/>
      <w:lvlText w:val="(%3)"/>
      <w:numFmt w:val="upperLetter"/>
      <w:start w:val="1"/>
    </w:lvl>
  </w:abstractNum>
  <w:abstractNum w:abstractNumId="45">
    <w:nsid w:val="2C27173B"/>
    <w:multiLevelType w:val="hybridMultilevel"/>
    <w:lvl w:ilvl="0">
      <w:lvlJc w:val="left"/>
      <w:lvlText w:val="%1"/>
      <w:numFmt w:val="lowerLetter"/>
      <w:start w:val="1"/>
    </w:lvl>
    <w:lvl w:ilvl="1">
      <w:lvlJc w:val="left"/>
      <w:lvlText w:val="(%2)"/>
      <w:numFmt w:val="lowerLetter"/>
      <w:start w:val="17"/>
    </w:lvl>
  </w:abstractNum>
  <w:abstractNum w:abstractNumId="46">
    <w:nsid w:val="4C9B0904"/>
    <w:multiLevelType w:val="hybridMultilevel"/>
    <w:lvl w:ilvl="0">
      <w:lvlJc w:val="left"/>
      <w:lvlText w:val="(%1)"/>
      <w:numFmt w:val="lowerLetter"/>
      <w:start w:val="35"/>
    </w:lvl>
    <w:lvl w:ilvl="1">
      <w:lvlJc w:val="left"/>
      <w:lvlText w:val="(%2)"/>
      <w:numFmt w:val="lowerLetter"/>
      <w:start w:val="18"/>
    </w:lvl>
  </w:abstractNum>
  <w:abstractNum w:abstractNumId="47">
    <w:nsid w:val="6AA7B75C"/>
    <w:multiLevelType w:val="hybridMultilevel"/>
    <w:lvl w:ilvl="0">
      <w:lvlJc w:val="left"/>
      <w:lvlText w:val="(%1)"/>
      <w:numFmt w:val="lowerLetter"/>
      <w:start w:val="19"/>
    </w:lvl>
  </w:abstractNum>
  <w:abstractNum w:abstractNumId="48">
    <w:nsid w:val="1DF029D3"/>
    <w:multiLevelType w:val="hybridMultilevel"/>
    <w:lvl w:ilvl="0">
      <w:lvlJc w:val="left"/>
      <w:lvlText w:val="(%1)"/>
      <w:numFmt w:val="lowerRoman"/>
      <w:start w:val="10"/>
    </w:lvl>
  </w:abstractNum>
  <w:abstractNum w:abstractNumId="49">
    <w:nsid w:val="5675FF36"/>
    <w:multiLevelType w:val="hybridMultilevel"/>
    <w:lvl w:ilvl="0">
      <w:lvlJc w:val="left"/>
      <w:lvlText w:val="(%1)"/>
      <w:numFmt w:val="lowerLetter"/>
      <w:start w:val="1"/>
    </w:lvl>
  </w:abstractNum>
  <w:abstractNum w:abstractNumId="50">
    <w:nsid w:val="3DD15094"/>
    <w:multiLevelType w:val="hybridMultilevel"/>
    <w:lvl w:ilvl="0">
      <w:lvlJc w:val="left"/>
      <w:lvlText w:val="(%1)"/>
      <w:numFmt w:val="lowerRoman"/>
      <w:start w:val="1"/>
    </w:lvl>
  </w:abstractNum>
  <w:abstractNum w:abstractNumId="51">
    <w:nsid w:val="3DB012B3"/>
    <w:multiLevelType w:val="hybridMultilevel"/>
    <w:lvl w:ilvl="0">
      <w:lvlJc w:val="left"/>
      <w:lvlText w:val="(%1)"/>
      <w:numFmt w:val="lowerRoman"/>
      <w:start w:val="3"/>
    </w:lvl>
  </w:abstractNum>
  <w:abstractNum w:abstractNumId="52">
    <w:nsid w:val="2708C9AF"/>
    <w:multiLevelType w:val="hybridMultilevel"/>
    <w:lvl w:ilvl="0">
      <w:lvlJc w:val="left"/>
      <w:lvlText w:val="(%1)"/>
      <w:numFmt w:val="lowerLetter"/>
      <w:start w:val="2"/>
    </w:lvl>
  </w:abstractNum>
  <w:abstractNum w:abstractNumId="53">
    <w:nsid w:val="5B25ACE2"/>
    <w:multiLevelType w:val="hybridMultilevel"/>
    <w:lvl w:ilvl="0">
      <w:lvlJc w:val="left"/>
      <w:lvlText w:val="(%1)"/>
      <w:numFmt w:val="lowerLetter"/>
      <w:start w:val="3"/>
    </w:lvl>
  </w:abstractNum>
  <w:abstractNum w:abstractNumId="54">
    <w:nsid w:val="175DFCF0"/>
    <w:multiLevelType w:val="hybridMultilevel"/>
    <w:lvl w:ilvl="0">
      <w:lvlJc w:val="left"/>
      <w:lvlText w:val="(%1)"/>
      <w:numFmt w:val="lowerLetter"/>
      <w:start w:val="1"/>
    </w:lvl>
  </w:abstractNum>
  <w:abstractNum w:abstractNumId="55">
    <w:nsid w:val="4F97E3E4"/>
    <w:multiLevelType w:val="hybridMultilevel"/>
    <w:lvl w:ilvl="0">
      <w:lvlJc w:val="left"/>
      <w:lvlText w:val="(%1)"/>
      <w:numFmt w:val="lowerLetter"/>
      <w:start w:val="3"/>
    </w:lvl>
  </w:abstractNum>
  <w:abstractNum w:abstractNumId="56">
    <w:nsid w:val="53B0A9E"/>
    <w:multiLevelType w:val="hybridMultilevel"/>
    <w:lvl w:ilvl="0">
      <w:lvlJc w:val="left"/>
      <w:lvlText w:val="(%1)"/>
      <w:numFmt w:val="lowerLetter"/>
      <w:start w:val="4"/>
    </w:lvl>
  </w:abstractNum>
  <w:abstractNum w:abstractNumId="57">
    <w:nsid w:val="34FD6B4F"/>
    <w:multiLevelType w:val="hybridMultilevel"/>
    <w:lvl w:ilvl="0">
      <w:lvlJc w:val="left"/>
      <w:lvlText w:val="(%1)"/>
      <w:numFmt w:val="lowerLetter"/>
      <w:start w:val="1"/>
    </w:lvl>
    <w:lvl w:ilvl="1">
      <w:lvlJc w:val="left"/>
      <w:lvlText w:val="(%2)"/>
      <w:numFmt w:val="lowerRoman"/>
      <w:start w:val="1"/>
    </w:lvl>
  </w:abstractNum>
  <w:abstractNum w:abstractNumId="58">
    <w:nsid w:val="5915FF32"/>
    <w:multiLevelType w:val="hybridMultilevel"/>
    <w:lvl w:ilvl="0">
      <w:lvlJc w:val="left"/>
      <w:lvlText w:val="(%1)"/>
      <w:numFmt w:val="lowerLetter"/>
      <w:start w:val="1"/>
    </w:lvl>
  </w:abstractNum>
  <w:abstractNum w:abstractNumId="59">
    <w:nsid w:val="56438D15"/>
    <w:multiLevelType w:val="hybridMultilevel"/>
    <w:lvl w:ilvl="0">
      <w:lvlJc w:val="left"/>
      <w:lvlText w:val="(%1)"/>
      <w:numFmt w:val="lowerLetter"/>
      <w:start w:val="4"/>
    </w:lvl>
  </w:abstractNum>
  <w:abstractNum w:abstractNumId="60">
    <w:nsid w:val="519E3149"/>
    <w:multiLevelType w:val="hybridMultilevel"/>
    <w:lvl w:ilvl="0">
      <w:lvlJc w:val="left"/>
      <w:lvlText w:val="(%1)"/>
      <w:numFmt w:val="lowerLetter"/>
      <w:start w:val="5"/>
    </w:lvl>
  </w:abstractNum>
  <w:abstractNum w:abstractNumId="61">
    <w:nsid w:val="2C6E4AFD"/>
    <w:multiLevelType w:val="hybridMultilevel"/>
    <w:lvl w:ilvl="0">
      <w:lvlJc w:val="left"/>
      <w:lvlText w:val="(%1)"/>
      <w:numFmt w:val="lowerLetter"/>
      <w:start w:val="7"/>
    </w:lvl>
  </w:abstractNum>
  <w:abstractNum w:abstractNumId="62">
    <w:nsid w:val="17A1B582"/>
    <w:multiLevelType w:val="hybridMultilevel"/>
    <w:lvl w:ilvl="0">
      <w:lvlJc w:val="left"/>
      <w:lvlText w:val="(%1)"/>
      <w:numFmt w:val="lowerRoman"/>
      <w:start w:val="1"/>
    </w:lvl>
  </w:abstractNum>
  <w:abstractNum w:abstractNumId="63">
    <w:nsid w:val="4DF72E4E"/>
    <w:multiLevelType w:val="hybridMultilevel"/>
    <w:lvl w:ilvl="0">
      <w:lvlJc w:val="left"/>
      <w:lvlText w:val="(%1)"/>
      <w:numFmt w:val="lowerRoman"/>
      <w:start w:val="1"/>
    </w:lvl>
  </w:abstractNum>
  <w:abstractNum w:abstractNumId="64">
    <w:nsid w:val="5046B5A9"/>
    <w:multiLevelType w:val="hybridMultilevel"/>
    <w:lvl w:ilvl="0">
      <w:lvlJc w:val="left"/>
      <w:lvlText w:val="(%1)"/>
      <w:numFmt w:val="lowerRoman"/>
      <w:start w:val="1"/>
    </w:lvl>
  </w:abstractNum>
  <w:abstractNum w:abstractNumId="65">
    <w:nsid w:val="5D888A08"/>
    <w:multiLevelType w:val="hybridMultilevel"/>
    <w:lvl w:ilvl="0">
      <w:lvlJc w:val="left"/>
      <w:lvlText w:val="(%1)"/>
      <w:numFmt w:val="lowerRoman"/>
      <w:start w:val="1"/>
    </w:lvl>
  </w:abstractNum>
  <w:abstractNum w:abstractNumId="66">
    <w:nsid w:val="2A082C70"/>
    <w:multiLevelType w:val="hybridMultilevel"/>
    <w:lvl w:ilvl="0">
      <w:lvlJc w:val="left"/>
      <w:lvlText w:val="[***]"/>
      <w:numFmt w:val="bullet"/>
      <w:start w:val="1"/>
    </w:lvl>
  </w:abstractNum>
  <w:abstractNum w:abstractNumId="67">
    <w:nsid w:val="5EC6AFD4"/>
    <w:multiLevelType w:val="hybridMultilevel"/>
    <w:lvl w:ilvl="0">
      <w:lvlJc w:val="left"/>
      <w:lvlText w:val="(%1)"/>
      <w:numFmt w:val="decimal"/>
      <w:start w:val="1"/>
    </w:lvl>
  </w:abstractNum>
  <w:abstractNum w:abstractNumId="68">
    <w:nsid w:val="19E21BB2"/>
    <w:multiLevelType w:val="hybridMultilevel"/>
    <w:lvl w:ilvl="0">
      <w:lvlJc w:val="left"/>
      <w:lvlText w:val="(%1)"/>
      <w:numFmt w:val="upperLetter"/>
      <w:start w:val="1"/>
    </w:lvl>
    <w:lvl w:ilvl="1">
      <w:lvlJc w:val="left"/>
      <w:lvlText w:val="%2."/>
      <w:numFmt w:val="lowerLetter"/>
      <w:start w:val="1"/>
    </w:lvl>
  </w:abstractNum>
  <w:abstractNum w:abstractNumId="69">
    <w:nsid w:val="75E0858A"/>
    <w:multiLevelType w:val="hybridMultilevel"/>
    <w:lvl w:ilvl="0">
      <w:lvlJc w:val="left"/>
      <w:lvlText w:val="(%1)"/>
      <w:numFmt w:val="upperLetter"/>
      <w:start w:val="3"/>
    </w:lvl>
    <w:lvl w:ilvl="1">
      <w:lvlJc w:val="left"/>
      <w:lvlText w:val="[***]"/>
      <w:numFmt w:val="bullet"/>
      <w:start w:val="1"/>
    </w:lvl>
  </w:abstractNum>
  <w:abstractNum w:abstractNumId="70">
    <w:nsid w:val="57A61A29"/>
    <w:multiLevelType w:val="hybridMultilevel"/>
    <w:lvl w:ilvl="0">
      <w:lvlJc w:val="left"/>
      <w:lvlText w:val="%1."/>
      <w:numFmt w:val="decimal"/>
      <w:start w:val="1"/>
    </w:lvl>
  </w:abstractNum>
  <w:abstractNum w:abstractNumId="71">
    <w:nsid w:val="5399C654"/>
    <w:multiLevelType w:val="hybridMultilevel"/>
    <w:lvl w:ilvl="0">
      <w:lvlJc w:val="left"/>
      <w:lvlText w:val="%1."/>
      <w:numFmt w:val="decimal"/>
      <w:start w:val="2"/>
    </w:lvl>
  </w:abstractNum>
  <w:abstractNum w:abstractNumId="72">
    <w:nsid w:val="20EE1348"/>
    <w:multiLevelType w:val="hybridMultilevel"/>
    <w:lvl w:ilvl="0">
      <w:lvlJc w:val="left"/>
      <w:lvlText w:val="[***]"/>
      <w:numFmt w:val="bullet"/>
      <w:start w:val="1"/>
    </w:lvl>
  </w:abstractNum>
  <w:abstractNum w:abstractNumId="73">
    <w:nsid w:val="4427069A"/>
    <w:multiLevelType w:val="hybridMultilevel"/>
    <w:lvl w:ilvl="0">
      <w:lvlJc w:val="left"/>
      <w:lvlText w:val="%1."/>
      <w:numFmt w:val="decimal"/>
      <w:start w:val="3"/>
    </w:lvl>
  </w:abstractNum>
  <w:abstractNum w:abstractNumId="74">
    <w:nsid w:val="B37E80A"/>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75">
    <w:nsid w:val="2157F6BC"/>
    <w:multiLevelType w:val="hybridMultilevel"/>
    <w:lvl w:ilvl="0">
      <w:lvlJc w:val="left"/>
      <w:lvlText w:val="%1"/>
      <w:numFmt w:val="decimal"/>
      <w:start w:val="1"/>
    </w:lvl>
    <w:lvl w:ilvl="1">
      <w:lvlJc w:val="left"/>
      <w:lvlText w:val="(%2)"/>
      <w:numFmt w:val="lowerLetter"/>
      <w:start w:val="1"/>
    </w:lvl>
  </w:abstractNum>
  <w:abstractNum w:abstractNumId="76">
    <w:nsid w:val="704E1DD5"/>
    <w:multiLevelType w:val="hybridMultilevel"/>
    <w:lvl w:ilvl="0">
      <w:lvlJc w:val="left"/>
      <w:lvlText w:val="%1."/>
      <w:numFmt w:val="decimal"/>
      <w:start w:val="4"/>
    </w:lvl>
    <w:lvl w:ilvl="1">
      <w:lvlJc w:val="left"/>
      <w:lvlText w:val="%2"/>
      <w:numFmt w:val="lowerLetter"/>
      <w:start w:val="1"/>
    </w:lvl>
  </w:abstractNum>
  <w:abstractNum w:abstractNumId="77">
    <w:nsid w:val="57D2F10E"/>
    <w:multiLevelType w:val="hybridMultilevel"/>
    <w:lvl w:ilvl="0">
      <w:lvlJc w:val="left"/>
      <w:lvlText w:val="(%1)"/>
      <w:numFmt w:val="lowerLetter"/>
      <w:start w:val="1"/>
    </w:lvl>
  </w:abstractNum>
  <w:abstractNum w:abstractNumId="78">
    <w:nsid w:val="BFFAE18"/>
    <w:multiLevelType w:val="hybridMultilevel"/>
    <w:lvl w:ilvl="0">
      <w:lvlJc w:val="left"/>
      <w:lvlText w:val="%1."/>
      <w:numFmt w:val="decimal"/>
      <w:start w:val="5"/>
    </w:lvl>
  </w:abstractNum>
  <w:abstractNum w:abstractNumId="79">
    <w:nsid w:val="E3E47A8"/>
    <w:multiLevelType w:val="hybridMultilevel"/>
    <w:lvl w:ilvl="0">
      <w:lvlJc w:val="left"/>
      <w:lvlText w:val="(%1)"/>
      <w:numFmt w:val="lowerLetter"/>
      <w:start w:val="1"/>
    </w:lvl>
  </w:abstractNum>
  <w:abstractNum w:abstractNumId="80">
    <w:nsid w:val="2E48F044"/>
    <w:multiLevelType w:val="hybridMultilevel"/>
    <w:lvl w:ilvl="0">
      <w:lvlJc w:val="left"/>
      <w:lvlText w:val="[***]"/>
      <w:numFmt w:val="bullet"/>
      <w:start w:val="1"/>
    </w:lvl>
    <w:lvl w:ilvl="1">
      <w:lvlJc w:val="left"/>
      <w:lvlText w:val="(%2)"/>
      <w:numFmt w:val="lowerLetter"/>
      <w:start w:val="1"/>
    </w:lvl>
  </w:abstractNum>
  <w:abstractNum w:abstractNumId="81">
    <w:nsid w:val="49D0FEAC"/>
    <w:multiLevelType w:val="hybridMultilevel"/>
    <w:lvl w:ilvl="0">
      <w:lvlJc w:val="left"/>
      <w:lvlText w:val="(%1)"/>
      <w:numFmt w:val="lowerLetter"/>
      <w:start w:val="2"/>
    </w:lvl>
  </w:abstractNum>
  <w:abstractNum w:abstractNumId="82">
    <w:nsid w:val="4BEE5A5B"/>
    <w:multiLevelType w:val="hybridMultilevel"/>
    <w:lvl w:ilvl="0">
      <w:lvlJc w:val="left"/>
      <w:lvlText w:val="%1"/>
      <w:numFmt w:val="decimal"/>
      <w:start w:val="1"/>
    </w:lvl>
    <w:lvl w:ilvl="1">
      <w:lvlJc w:val="left"/>
      <w:lvlText w:val="(%2)"/>
      <w:numFmt w:val="lowerLetter"/>
      <w:start w:val="1"/>
    </w:lvl>
  </w:abstractNum>
  <w:abstractNum w:abstractNumId="83">
    <w:nsid w:val="5551B9F3"/>
    <w:multiLevelType w:val="hybridMultilevel"/>
    <w:lvl w:ilvl="0">
      <w:lvlJc w:val="left"/>
      <w:lvlText w:val="%1."/>
      <w:numFmt w:val="decimal"/>
      <w:start w:val="6"/>
    </w:lvl>
    <w:lvl w:ilvl="1">
      <w:lvlJc w:val="left"/>
      <w:lvlText w:val="%2"/>
      <w:numFmt w:val="lowerLetter"/>
      <w:start w:val="1"/>
    </w:lvl>
  </w:abstractNum>
  <w:abstractNum w:abstractNumId="84">
    <w:nsid w:val="24F6AB8E"/>
    <w:multiLevelType w:val="hybridMultilevel"/>
    <w:lvl w:ilvl="0">
      <w:lvlJc w:val="left"/>
      <w:lvlText w:val="%1."/>
      <w:numFmt w:val="decimal"/>
      <w:start w:val="7"/>
    </w:lvl>
  </w:abstractNum>
  <w:abstractNum w:abstractNumId="85">
    <w:nsid w:val="634C574C"/>
    <w:multiLevelType w:val="hybridMultilevel"/>
    <w:lvl w:ilvl="0">
      <w:lvlJc w:val="left"/>
      <w:lvlText w:val="%1."/>
      <w:numFmt w:val="decimal"/>
      <w:start w:val="8"/>
    </w:lvl>
  </w:abstractNum>
  <w:abstractNum w:abstractNumId="86">
    <w:nsid w:val="24E99DD7"/>
    <w:multiLevelType w:val="hybridMultilevel"/>
    <w:lvl w:ilvl="0">
      <w:lvlJc w:val="left"/>
      <w:lvlText w:val="[***]"/>
      <w:numFmt w:val="bullet"/>
      <w:start w:val="1"/>
    </w:lvl>
    <w:lvl w:ilvl="1">
      <w:lvlJc w:val="left"/>
      <w:lvlText w:val="(%2)"/>
      <w:numFmt w:val="lowerLetter"/>
      <w:start w:val="1"/>
    </w:lvl>
  </w:abstractNum>
  <w:abstractNum w:abstractNumId="87">
    <w:nsid w:val="2A31B62D"/>
    <w:multiLevelType w:val="hybridMultilevel"/>
    <w:lvl w:ilvl="0">
      <w:lvlJc w:val="left"/>
      <w:lvlText w:val="%1."/>
      <w:numFmt w:val="decimal"/>
      <w:start w:val="9"/>
    </w:lvl>
  </w:abstractNum>
  <w:abstractNum w:abstractNumId="88">
    <w:nsid w:val="1849C29B"/>
    <w:multiLevelType w:val="hybridMultilevel"/>
    <w:lvl w:ilvl="0">
      <w:lvlJc w:val="left"/>
      <w:lvlText w:val="%1."/>
      <w:numFmt w:val="decimal"/>
      <w:start w:val="10"/>
    </w:lvl>
  </w:abstractNum>
  <w:abstractNum w:abstractNumId="89">
    <w:nsid w:val="7DFF9D09"/>
    <w:multiLevelType w:val="hybridMultilevel"/>
    <w:lvl w:ilvl="0">
      <w:lvlJc w:val="left"/>
      <w:lvlText w:val="%1."/>
      <w:numFmt w:val="decimal"/>
      <w:start w:val="11"/>
    </w:lvl>
  </w:abstractNum>
  <w:abstractNum w:abstractNumId="90">
    <w:nsid w:val="754342"/>
    <w:multiLevelType w:val="hybridMultilevel"/>
    <w:lvl w:ilvl="0">
      <w:lvlJc w:val="left"/>
      <w:lvlText w:val="[***]"/>
      <w:numFmt w:val="bullet"/>
      <w:start w:val="1"/>
    </w:lvl>
    <w:lvl w:ilvl="1">
      <w:lvlJc w:val="left"/>
      <w:lvlText w:val="(%2)"/>
      <w:numFmt w:val="lowerLetter"/>
      <w:start w:val="1"/>
    </w:lvl>
  </w:abstractNum>
  <w:abstractNum w:abstractNumId="91">
    <w:nsid w:val="69E7F3E5"/>
    <w:multiLevelType w:val="hybridMultilevel"/>
    <w:lvl w:ilvl="0">
      <w:lvlJc w:val="left"/>
      <w:lvlText w:val="(%1)"/>
      <w:numFmt w:val="lowerLetter"/>
      <w:start w:val="1"/>
    </w:lvl>
  </w:abstractNum>
  <w:abstractNum w:abstractNumId="92">
    <w:nsid w:val="2A6DE806"/>
    <w:multiLevelType w:val="hybridMultilevel"/>
    <w:lvl w:ilvl="0">
      <w:lvlJc w:val="left"/>
      <w:lvlText w:val="(%1)"/>
      <w:numFmt w:val="lowerLetter"/>
      <w:start w:val="2"/>
    </w:lvl>
  </w:abstractNum>
  <w:abstractNum w:abstractNumId="93">
    <w:nsid w:val="1816F8C4"/>
    <w:multiLevelType w:val="hybridMultilevel"/>
    <w:lvl w:ilvl="0">
      <w:lvlJc w:val="left"/>
      <w:lvlText w:val="(%1)"/>
      <w:numFmt w:val="lowerLetter"/>
      <w:start w:val="3"/>
    </w:lvl>
  </w:abstractNum>
  <w:abstractNum w:abstractNumId="94">
    <w:nsid w:val="37DF2233"/>
    <w:multiLevelType w:val="hybridMultilevel"/>
    <w:lvl w:ilvl="0">
      <w:lvlJc w:val="left"/>
      <w:lvlText w:val="(%1)"/>
      <w:numFmt w:val="lowerLetter"/>
      <w:start w:val="4"/>
    </w:lvl>
  </w:abstractNum>
  <w:abstractNum w:abstractNumId="95">
    <w:nsid w:val="7AB49DAF"/>
    <w:multiLevelType w:val="hybridMultilevel"/>
    <w:lvl w:ilvl="0">
      <w:lvlJc w:val="left"/>
      <w:lvlText w:val="(%1)"/>
      <w:numFmt w:val="lowerLetter"/>
      <w:start w:val="1"/>
    </w:lvl>
  </w:abstractNum>
  <w:abstractNum w:abstractNumId="96">
    <w:nsid w:val="759F82CD"/>
    <w:multiLevelType w:val="hybridMultilevel"/>
    <w:lvl w:ilvl="0">
      <w:lvlJc w:val="left"/>
      <w:lvlText w:val="%1."/>
      <w:numFmt w:val="decimal"/>
      <w:start w:val="12"/>
    </w:lvl>
  </w:abstractNum>
  <w:abstractNum w:abstractNumId="97">
    <w:nsid w:val="61E74EA3"/>
    <w:multiLevelType w:val="hybridMultilevel"/>
    <w:lvl w:ilvl="0">
      <w:lvlJc w:val="left"/>
      <w:lvlText w:val="[***]"/>
      <w:numFmt w:val="bullet"/>
      <w:start w:val="1"/>
    </w:lvl>
  </w:abstractNum>
  <w:abstractNum w:abstractNumId="98">
    <w:nsid w:val="597B4D84"/>
    <w:multiLevelType w:val="hybridMultilevel"/>
    <w:lvl w:ilvl="0">
      <w:lvlJc w:val="left"/>
      <w:lvlText w:val="%1."/>
      <w:numFmt w:val="decimal"/>
      <w:start w:val="13"/>
    </w:lvl>
  </w:abstractNum>
  <w:abstractNum w:abstractNumId="99">
    <w:nsid w:val="F819E7F"/>
    <w:multiLevelType w:val="hybridMultilevel"/>
    <w:lvl w:ilvl="0">
      <w:lvlJc w:val="left"/>
      <w:lvlText w:val="[***]"/>
      <w:numFmt w:val="bullet"/>
      <w:start w:val="1"/>
    </w:lvl>
  </w:abstractNum>
  <w:abstractNum w:abstractNumId="100">
    <w:nsid w:val="57C7D42D"/>
    <w:multiLevelType w:val="hybridMultilevel"/>
    <w:lvl w:ilvl="0">
      <w:lvlJc w:val="left"/>
      <w:lvlText w:val="[***]"/>
      <w:numFmt w:val="bullet"/>
      <w:start w:val="1"/>
    </w:lvl>
  </w:abstractNum>
  <w:abstractNum w:abstractNumId="101">
    <w:nsid w:val="312167AD"/>
    <w:multiLevelType w:val="hybridMultilevel"/>
    <w:lvl w:ilvl="0">
      <w:lvlJc w:val="left"/>
      <w:lvlText w:val="[***]"/>
      <w:numFmt w:val="bullet"/>
      <w:start w:val="1"/>
    </w:lvl>
  </w:abstractNum>
  <w:abstractNum w:abstractNumId="102">
    <w:nsid w:val="631B64D4"/>
    <w:multiLevelType w:val="hybridMultilevel"/>
    <w:lvl w:ilvl="0">
      <w:lvlJc w:val="left"/>
      <w:lvlText w:val="[***]"/>
      <w:numFmt w:val="bullet"/>
      <w:start w:val="1"/>
    </w:lvl>
  </w:abstractNum>
  <w:abstractNum w:abstractNumId="103">
    <w:nsid w:val="78B5E776"/>
    <w:multiLevelType w:val="hybridMultilevel"/>
    <w:lvl w:ilvl="0">
      <w:lvlJc w:val="left"/>
      <w:lvlText w:val="%1."/>
      <w:numFmt w:val="decimal"/>
      <w:start w:val="1"/>
    </w:lvl>
  </w:abstractNum>
  <w:abstractNum w:abstractNumId="104">
    <w:nsid w:val="75486E47"/>
    <w:multiLevelType w:val="hybridMultilevel"/>
    <w:lvl w:ilvl="0">
      <w:lvlJc w:val="left"/>
      <w:lvlText w:val="(%1)"/>
      <w:numFmt w:val="lowerLetter"/>
      <w:start w:val="1"/>
    </w:lvl>
  </w:abstractNum>
  <w:abstractNum w:abstractNumId="105">
    <w:nsid w:val="6E534CDE"/>
    <w:multiLevelType w:val="hybridMultilevel"/>
    <w:lvl w:ilvl="0">
      <w:lvlJc w:val="left"/>
      <w:lvlText w:val="[***]"/>
      <w:numFmt w:val="bullet"/>
      <w:start w:val="1"/>
    </w:lvl>
  </w:abstractNum>
  <w:abstractNum w:abstractNumId="106">
    <w:nsid w:val="1A0DDE32"/>
    <w:multiLevelType w:val="hybridMultilevel"/>
    <w:lvl w:ilvl="0">
      <w:lvlJc w:val="left"/>
      <w:lvlText w:val="(%1)"/>
      <w:numFmt w:val="lowerLetter"/>
      <w:start w:val="2"/>
    </w:lvl>
  </w:abstractNum>
  <w:abstractNum w:abstractNumId="107">
    <w:nsid w:val="65968C1C"/>
    <w:multiLevelType w:val="hybridMultilevel"/>
    <w:lvl w:ilvl="0">
      <w:lvlJc w:val="left"/>
      <w:lvlText w:val="(%1)"/>
      <w:numFmt w:val="lowerRoman"/>
      <w:start w:val="1"/>
    </w:lvl>
  </w:abstractNum>
  <w:abstractNum w:abstractNumId="108">
    <w:nsid w:val="46263DEC"/>
    <w:multiLevelType w:val="hybridMultilevel"/>
    <w:lvl w:ilvl="0">
      <w:lvlJc w:val="left"/>
      <w:lvlText w:val="(%1)"/>
      <w:numFmt w:val="lowerRoman"/>
      <w:start w:val="3"/>
    </w:lvl>
  </w:abstractNum>
  <w:abstractNum w:abstractNumId="109">
    <w:nsid w:val="260D8C4A"/>
    <w:multiLevelType w:val="hybridMultilevel"/>
    <w:lvl w:ilvl="0">
      <w:lvlJc w:val="left"/>
      <w:lvlText w:val="%1."/>
      <w:numFmt w:val="decimal"/>
      <w:start w:val="3"/>
    </w:lvl>
  </w:abstractNum>
  <w:abstractNum w:abstractNumId="110">
    <w:nsid w:val="73D4D3C4"/>
    <w:multiLevelType w:val="hybridMultilevel"/>
    <w:lvl w:ilvl="0">
      <w:lvlJc w:val="left"/>
      <w:lvlText w:val="[***]"/>
      <w:numFmt w:val="bullet"/>
      <w:start w:val="1"/>
    </w:lvl>
    <w:lvl w:ilvl="1">
      <w:lvlJc w:val="left"/>
      <w:lvlText w:val="%2."/>
      <w:numFmt w:val="decimal"/>
      <w:start w:val="4"/>
    </w:lvl>
  </w:abstractNum>
  <w:abstractNum w:abstractNumId="111">
    <w:nsid w:val="746F2E30"/>
    <w:multiLevelType w:val="hybridMultilevel"/>
    <w:lvl w:ilvl="0">
      <w:lvlJc w:val="left"/>
      <w:lvlText w:val="(%1)"/>
      <w:numFmt w:val="lowerLetter"/>
      <w:start w:val="1"/>
    </w:lvl>
  </w:abstractNum>
  <w:abstractNum w:abstractNumId="112">
    <w:nsid w:val="6FDE8AF6"/>
    <w:multiLevelType w:val="hybridMultilevel"/>
    <w:lvl w:ilvl="0">
      <w:lvlJc w:val="left"/>
      <w:lvlText w:val="%1."/>
      <w:numFmt w:val="decimal"/>
      <w:start w:val="6"/>
    </w:lvl>
  </w:abstractNum>
  <w:abstractNum w:abstractNumId="113">
    <w:nsid w:val="3FC32E20"/>
    <w:multiLevelType w:val="hybridMultilevel"/>
    <w:lvl w:ilvl="0">
      <w:lvlJc w:val="left"/>
      <w:lvlText w:val="(%1)"/>
      <w:numFmt w:val="lowerLetter"/>
      <w:start w:val="1"/>
    </w:lvl>
  </w:abstractNum>
  <w:abstractNum w:abstractNumId="114">
    <w:nsid w:val="49C0E823"/>
    <w:multiLevelType w:val="hybridMultilevel"/>
    <w:lvl w:ilvl="0">
      <w:lvlJc w:val="left"/>
      <w:lvlText w:val="[***]"/>
      <w:numFmt w:val="bullet"/>
      <w:start w:val="1"/>
    </w:lvl>
    <w:lvl w:ilvl="1">
      <w:lvlJc w:val="left"/>
      <w:lvlText w:val="(%2)"/>
      <w:numFmt w:val="lowerLetter"/>
      <w:start w:val="2"/>
    </w:lvl>
  </w:abstractNum>
  <w:abstractNum w:abstractNumId="115">
    <w:nsid w:val="14D53685"/>
    <w:multiLevelType w:val="hybridMultilevel"/>
    <w:lvl w:ilvl="0">
      <w:lvlJc w:val="left"/>
      <w:lvlText w:val="[***]"/>
      <w:numFmt w:val="bullet"/>
      <w:start w:val="1"/>
    </w:lvl>
  </w:abstractNum>
  <w:abstractNum w:abstractNumId="116">
    <w:nsid w:val="230F856C"/>
    <w:multiLevelType w:val="hybridMultilevel"/>
    <w:lvl w:ilvl="0">
      <w:lvlJc w:val="left"/>
      <w:lvlText w:val="(%1)"/>
      <w:numFmt w:val="lowerLetter"/>
      <w:start w:val="6"/>
    </w:lvl>
  </w:abstractNum>
  <w:abstractNum w:abstractNumId="117">
    <w:nsid w:val="6EAA85FB"/>
    <w:multiLevelType w:val="hybridMultilevel"/>
    <w:lvl w:ilvl="0">
      <w:lvlJc w:val="left"/>
      <w:lvlText w:val="%1."/>
      <w:numFmt w:val="decimal"/>
      <w:start w:val="8"/>
    </w:lvl>
  </w:abstractNum>
  <w:abstractNum w:abstractNumId="118">
    <w:nsid w:val="3F06ECB2"/>
    <w:multiLevelType w:val="hybridMultilevel"/>
    <w:lvl w:ilvl="0">
      <w:lvlJc w:val="left"/>
      <w:lvlText w:val="[***]"/>
      <w:numFmt w:val="bullet"/>
      <w:start w:val="1"/>
    </w:lvl>
    <w:lvl w:ilvl="1">
      <w:lvlJc w:val="left"/>
      <w:lvlText w:val="%2."/>
      <w:numFmt w:val="decimal"/>
      <w:start w:val="10"/>
    </w:lvl>
  </w:abstractNum>
  <w:abstractNum w:abstractNumId="119">
    <w:nsid w:val="3B594807"/>
    <w:multiLevelType w:val="hybridMultilevel"/>
    <w:lvl w:ilvl="0">
      <w:lvlJc w:val="left"/>
      <w:lvlText w:val="[***]"/>
      <w:numFmt w:val="bullet"/>
      <w:start w:val="1"/>
    </w:lvl>
  </w:abstractNum>
  <w:abstractNum w:abstractNumId="120">
    <w:nsid w:val="6CAA2304"/>
    <w:multiLevelType w:val="hybridMultilevel"/>
    <w:lvl w:ilvl="0">
      <w:lvlJc w:val="left"/>
      <w:lvlText w:val="[***]"/>
      <w:numFmt w:val="bullet"/>
      <w:start w:val="1"/>
    </w:lvl>
  </w:abstractNum>
  <w:abstractNum w:abstractNumId="121">
    <w:nsid w:val="3F7C2FF4"/>
    <w:multiLevelType w:val="hybridMultilevel"/>
    <w:lvl w:ilvl="0">
      <w:lvlJc w:val="left"/>
      <w:lvlText w:val="[***]"/>
      <w:numFmt w:val="bullet"/>
      <w:start w:val="1"/>
    </w:lvl>
  </w:abstractNum>
  <w:abstractNum w:abstractNumId="122">
    <w:nsid w:val="25413BEC"/>
    <w:multiLevelType w:val="hybridMultilevel"/>
    <w:lvl w:ilvl="0">
      <w:lvlJc w:val="left"/>
      <w:lvlText w:val="[***]"/>
      <w:numFmt w:val="bullet"/>
      <w:start w:val="1"/>
    </w:lvl>
  </w:abstractNum>
  <w:abstractNum w:abstractNumId="123">
    <w:nsid w:val="17180B0B"/>
    <w:multiLevelType w:val="hybridMultilevel"/>
    <w:lvl w:ilvl="0">
      <w:lvlJc w:val="left"/>
      <w:lvlText w:val="[***]"/>
      <w:numFmt w:val="bullet"/>
      <w:start w:val="1"/>
    </w:lvl>
  </w:abstractNum>
  <w:abstractNum w:abstractNumId="124">
    <w:nsid w:val="579328B9"/>
    <w:multiLevelType w:val="hybridMultilevel"/>
    <w:lvl w:ilvl="0">
      <w:lvlJc w:val="left"/>
      <w:lvlText w:val="%1"/>
      <w:numFmt w:val="lowerLetter"/>
      <w:start w:val="1"/>
    </w:lvl>
    <w:lvl w:ilvl="1">
      <w:lvlJc w:val="left"/>
      <w:lvlText w:val="%2."/>
      <w:numFmt w:val="decimal"/>
      <w:start w:val="1"/>
    </w:lvl>
  </w:abstractNum>
  <w:abstractNum w:abstractNumId="125">
    <w:nsid w:val="5D205E20"/>
    <w:multiLevelType w:val="hybridMultilevel"/>
    <w:lvl w:ilvl="0">
      <w:lvlJc w:val="left"/>
      <w:lvlText w:val="(%1)"/>
      <w:numFmt w:val="lowerLetter"/>
      <w:start w:val="1"/>
    </w:lvl>
    <w:lvl w:ilvl="1">
      <w:lvlJc w:val="left"/>
      <w:lvlText w:val="%2"/>
      <w:numFmt w:val="decimal"/>
      <w:start w:val="1"/>
    </w:lvl>
  </w:abstractNum>
  <w:abstractNum w:abstractNumId="126">
    <w:nsid w:val="11CCA8BA"/>
    <w:multiLevelType w:val="hybridMultilevel"/>
    <w:lvl w:ilvl="0">
      <w:lvlJc w:val="left"/>
      <w:lvlText w:val="[***]"/>
      <w:numFmt w:val="bullet"/>
      <w:start w:val="1"/>
    </w:lvl>
  </w:abstractNum>
  <w:abstractNum w:abstractNumId="127">
    <w:nsid w:val="4D32AB86"/>
    <w:multiLevelType w:val="hybridMultilevel"/>
    <w:lvl w:ilvl="0">
      <w:lvlJc w:val="left"/>
      <w:lvlText w:val="(%1)"/>
      <w:numFmt w:val="lowerLetter"/>
      <w:start w:val="2"/>
    </w:lvl>
  </w:abstractNum>
  <w:abstractNum w:abstractNumId="128">
    <w:nsid w:val="3F07ACC3"/>
    <w:multiLevelType w:val="hybridMultilevel"/>
    <w:lvl w:ilvl="0">
      <w:lvlJc w:val="left"/>
      <w:lvlText w:val="[***]"/>
      <w:numFmt w:val="bullet"/>
      <w:start w:val="1"/>
    </w:lvl>
  </w:abstractNum>
  <w:abstractNum w:abstractNumId="129">
    <w:nsid w:val="6B47F63E"/>
    <w:multiLevelType w:val="hybridMultilevel"/>
    <w:lvl w:ilvl="0">
      <w:lvlJc w:val="left"/>
      <w:lvlText w:val="%1"/>
      <w:numFmt w:val="lowerLetter"/>
      <w:start w:val="1"/>
    </w:lvl>
    <w:lvl w:ilvl="1">
      <w:lvlJc w:val="left"/>
      <w:lvlText w:val="(%2)"/>
      <w:numFmt w:val="lowerLetter"/>
      <w:start w:val="1"/>
    </w:lvl>
  </w:abstractNum>
  <w:abstractNum w:abstractNumId="130">
    <w:nsid w:val="5CB44A05"/>
    <w:multiLevelType w:val="hybridMultilevel"/>
    <w:lvl w:ilvl="0">
      <w:lvlJc w:val="left"/>
      <w:lvlText w:val="(%1)"/>
      <w:numFmt w:val="lowerLetter"/>
      <w:start w:val="3"/>
    </w:lvl>
    <w:lvl w:ilvl="1">
      <w:lvlJc w:val="left"/>
      <w:lvlText w:val="%2"/>
      <w:numFmt w:val="lowerLetter"/>
      <w:start w:val="1"/>
    </w:lvl>
  </w:abstractNum>
  <w:abstractNum w:abstractNumId="131">
    <w:nsid w:val="16CF80F1"/>
    <w:multiLevelType w:val="hybridMultilevel"/>
    <w:lvl w:ilvl="0">
      <w:lvlJc w:val="left"/>
      <w:lvlText w:val="[***]"/>
      <w:numFmt w:val="bullet"/>
      <w:start w:val="1"/>
    </w:lvl>
  </w:abstractNum>
  <w:abstractNum w:abstractNumId="132">
    <w:nsid w:val="1C695DEC"/>
    <w:multiLevelType w:val="hybridMultilevel"/>
    <w:lvl w:ilvl="0">
      <w:lvlJc w:val="left"/>
      <w:lvlText w:val="(%1)"/>
      <w:numFmt w:val="lowerLetter"/>
      <w:start w:val="4"/>
    </w:lvl>
  </w:abstractNum>
  <w:abstractNum w:abstractNumId="133">
    <w:nsid w:val="3FCFAED9"/>
    <w:multiLevelType w:val="hybridMultilevel"/>
    <w:lvl w:ilvl="0">
      <w:lvlJc w:val="left"/>
      <w:lvlText w:val="(%1)"/>
      <w:numFmt w:val="lowerLetter"/>
      <w:start w:val="5"/>
    </w:lvl>
  </w:abstractNum>
  <w:abstractNum w:abstractNumId="134">
    <w:nsid w:val="F856867"/>
    <w:multiLevelType w:val="hybridMultilevel"/>
    <w:lvl w:ilvl="0">
      <w:lvlJc w:val="left"/>
      <w:lvlText w:val="(%1)"/>
      <w:numFmt w:val="lowerLetter"/>
      <w:start w:val="6"/>
    </w:lvl>
  </w:abstractNum>
  <w:abstractNum w:abstractNumId="135">
    <w:nsid w:val="11B1CC33"/>
    <w:multiLevelType w:val="hybridMultilevel"/>
    <w:lvl w:ilvl="0">
      <w:lvlJc w:val="left"/>
      <w:lvlText w:val="(%1)"/>
      <w:numFmt w:val="lowerLetter"/>
      <w:start w:val="7"/>
    </w:lvl>
  </w:abstractNum>
  <w:abstractNum w:abstractNumId="136">
    <w:nsid w:val="2E22FBB7"/>
    <w:multiLevelType w:val="hybridMultilevel"/>
    <w:lvl w:ilvl="0">
      <w:lvlJc w:val="left"/>
      <w:lvlText w:val="[***]"/>
      <w:numFmt w:val="bullet"/>
      <w:start w:val="1"/>
    </w:lvl>
  </w:abstractNum>
  <w:abstractNum w:abstractNumId="137">
    <w:nsid w:val="29934699"/>
    <w:multiLevelType w:val="hybridMultilevel"/>
    <w:lvl w:ilvl="0">
      <w:lvlJc w:val="left"/>
      <w:lvlText w:val="(%1)"/>
      <w:numFmt w:val="lowerLetter"/>
      <w:start w:val="8"/>
    </w:lvl>
  </w:abstractNum>
  <w:abstractNum w:abstractNumId="138">
    <w:nsid w:val="77485850"/>
    <w:multiLevelType w:val="hybridMultilevel"/>
    <w:lvl w:ilvl="0">
      <w:lvlJc w:val="left"/>
      <w:lvlText w:val="(%1)"/>
      <w:numFmt w:val="lowerRoman"/>
      <w:start w:val="1"/>
    </w:lvl>
  </w:abstractNum>
  <w:abstractNum w:abstractNumId="139">
    <w:nsid w:val="744939A3"/>
    <w:multiLevelType w:val="hybridMultilevel"/>
    <w:lvl w:ilvl="0">
      <w:lvlJc w:val="left"/>
      <w:lvlText w:val="(%1)"/>
      <w:numFmt w:val="lowerLetter"/>
      <w:start w:val="10"/>
    </w:lvl>
  </w:abstractNum>
  <w:abstractNum w:abstractNumId="140">
    <w:nsid w:val="4FA0D2E3"/>
    <w:multiLevelType w:val="hybridMultilevel"/>
    <w:lvl w:ilvl="0">
      <w:lvlJc w:val="left"/>
      <w:lvlText w:val="(%1)"/>
      <w:numFmt w:val="lowerLetter"/>
      <w:start w:val="11"/>
    </w:lvl>
  </w:abstractNum>
  <w:abstractNum w:abstractNumId="141">
    <w:nsid w:val="6B1D2C14"/>
    <w:multiLevelType w:val="hybridMultilevel"/>
    <w:lvl w:ilvl="0">
      <w:lvlJc w:val="left"/>
      <w:lvlText w:val="(%1)"/>
      <w:numFmt w:val="lowerLetter"/>
      <w:start w:val="12"/>
    </w:lvl>
  </w:abstractNum>
  <w:abstractNum w:abstractNumId="142">
    <w:nsid w:val="68B867D3"/>
    <w:multiLevelType w:val="hybridMultilevel"/>
    <w:lvl w:ilvl="0">
      <w:lvlJc w:val="left"/>
      <w:lvlText w:val="(%1)"/>
      <w:numFmt w:val="lowerLetter"/>
      <w:start w:val="15"/>
    </w:lvl>
  </w:abstractNum>
  <w:abstractNum w:abstractNumId="143">
    <w:nsid w:val="3F7F5DD9"/>
    <w:multiLevelType w:val="hybridMultilevel"/>
    <w:lvl w:ilvl="0">
      <w:lvlJc w:val="left"/>
      <w:lvlText w:val="[***]"/>
      <w:numFmt w:val="bullet"/>
      <w:start w:val="1"/>
    </w:lvl>
    <w:lvl w:ilvl="1">
      <w:lvlJc w:val="left"/>
      <w:lvlText w:val="(%2)"/>
      <w:numFmt w:val="lowerLetter"/>
      <w:start w:val="13"/>
    </w:lvl>
    <w:lvl w:ilvl="2">
      <w:lvlJc w:val="left"/>
      <w:lvlText w:val="%3."/>
      <w:numFmt w:val="decimal"/>
      <w:start w:val="3"/>
    </w:lvl>
  </w:abstractNum>
  <w:abstractNum w:abstractNumId="144">
    <w:nsid w:val="2AE05A34"/>
    <w:multiLevelType w:val="hybridMultilevel"/>
    <w:lvl w:ilvl="0">
      <w:lvlJc w:val="left"/>
      <w:lvlText w:val="(%1)"/>
      <w:numFmt w:val="lowerLetter"/>
      <w:start w:val="1"/>
    </w:lvl>
  </w:abstractNum>
  <w:abstractNum w:abstractNumId="145">
    <w:nsid w:val="32794FF7"/>
    <w:multiLevelType w:val="hybridMultilevel"/>
    <w:lvl w:ilvl="0">
      <w:lvlJc w:val="left"/>
      <w:lvlText w:val="[***]"/>
      <w:numFmt w:val="bullet"/>
      <w:start w:val="1"/>
    </w:lvl>
    <w:lvl w:ilvl="1">
      <w:lvlJc w:val="left"/>
      <w:lvlText w:val="(%2)"/>
      <w:numFmt w:val="lowerLetter"/>
      <w:start w:val="7"/>
    </w:lvl>
    <w:lvl w:ilvl="2">
      <w:lvlJc w:val="left"/>
      <w:lvlText w:val="(%3)"/>
      <w:numFmt w:val="lowerRoman"/>
      <w:start w:val="1"/>
    </w:lvl>
  </w:abstractNum>
  <w:abstractNum w:abstractNumId="146">
    <w:nsid w:val="5454945E"/>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abstractNum>
  <w:abstractNum w:abstractNumId="147">
    <w:nsid w:val="4DEFDFA0"/>
    <w:multiLevelType w:val="hybridMultilevel"/>
    <w:lvl w:ilvl="0">
      <w:lvlJc w:val="left"/>
      <w:lvlText w:val="[***]"/>
      <w:numFmt w:val="bullet"/>
      <w:start w:val="1"/>
    </w:lvl>
    <w:lvl w:ilvl="1">
      <w:lvlJc w:val="left"/>
      <w:lvlText w:val="(%2)"/>
      <w:numFmt w:val="lowerLetter"/>
      <w:start w:val="14"/>
    </w:lvl>
    <w:lvl w:ilvl="2">
      <w:lvlJc w:val="left"/>
      <w:lvlText w:val="%3"/>
      <w:numFmt w:val="lowerRoman"/>
      <w:start w:val="1"/>
    </w:lvl>
  </w:abstractNum>
  <w:abstractNum w:abstractNumId="148">
    <w:nsid w:val="2123D5F2"/>
    <w:multiLevelType w:val="hybridMultilevel"/>
    <w:lvl w:ilvl="0">
      <w:lvlJc w:val="left"/>
      <w:lvlText w:val="%1."/>
      <w:numFmt w:val="decimal"/>
      <w:start w:val="4"/>
    </w:lvl>
  </w:abstractNum>
  <w:abstractNum w:abstractNumId="149">
    <w:nsid w:val="135B8110"/>
    <w:multiLevelType w:val="hybridMultilevel"/>
    <w:lvl w:ilvl="0">
      <w:lvlJc w:val="left"/>
      <w:lvlText w:val="(%1)"/>
      <w:numFmt w:val="lowerLetter"/>
      <w:start w:val="1"/>
    </w:lvl>
  </w:abstractNum>
  <w:abstractNum w:abstractNumId="150">
    <w:nsid w:val="94927A8"/>
    <w:multiLevelType w:val="hybridMultilevel"/>
    <w:lvl w:ilvl="0">
      <w:lvlJc w:val="left"/>
      <w:lvlText w:val="%1."/>
      <w:numFmt w:val="decimal"/>
      <w:start w:val="6"/>
    </w:lvl>
  </w:abstractNum>
  <w:abstractNum w:abstractNumId="151">
    <w:nsid w:val="DCDF8F6"/>
    <w:multiLevelType w:val="hybridMultilevel"/>
    <w:lvl w:ilvl="0">
      <w:lvlJc w:val="left"/>
      <w:lvlText w:val="[***]"/>
      <w:numFmt w:val="bullet"/>
      <w:start w:val="1"/>
    </w:lvl>
  </w:abstractNum>
  <w:abstractNum w:abstractNumId="152">
    <w:nsid w:val="52D7B105"/>
    <w:multiLevelType w:val="hybridMultilevel"/>
    <w:lvl w:ilvl="0">
      <w:lvlJc w:val="left"/>
      <w:lvlText w:val="%1."/>
      <w:numFmt w:val="decimal"/>
      <w:start w:val="7"/>
    </w:lvl>
  </w:abstractNum>
  <w:abstractNum w:abstractNumId="153">
    <w:nsid w:val="2E8A6394"/>
    <w:multiLevelType w:val="hybridMultilevel"/>
    <w:lvl w:ilvl="0">
      <w:lvlJc w:val="left"/>
      <w:lvlText w:val="%1."/>
      <w:numFmt w:val="decimal"/>
      <w:start w:val="8"/>
    </w:lvl>
  </w:abstractNum>
  <w:abstractNum w:abstractNumId="154">
    <w:nsid w:val="24E60401"/>
    <w:multiLevelType w:val="hybridMultilevel"/>
    <w:lvl w:ilvl="0">
      <w:lvlJc w:val="left"/>
      <w:lvlText w:val="(%1)"/>
      <w:numFmt w:val="lowerLetter"/>
      <w:start w:val="1"/>
    </w:lvl>
  </w:abstractNum>
  <w:abstractNum w:abstractNumId="155">
    <w:nsid w:val="2A6AD9BE"/>
    <w:multiLevelType w:val="hybridMultilevel"/>
    <w:lvl w:ilvl="0">
      <w:lvlJc w:val="left"/>
      <w:lvlText w:val="[***]"/>
      <w:numFmt w:val="bullet"/>
      <w:start w:val="1"/>
    </w:lvl>
    <w:lvl w:ilvl="1">
      <w:lvlJc w:val="left"/>
      <w:lvlText w:val="(%2)"/>
      <w:numFmt w:val="lowerLetter"/>
      <w:start w:val="3"/>
    </w:lvl>
  </w:abstractNum>
  <w:abstractNum w:abstractNumId="156">
    <w:nsid w:val="BAAC1B4"/>
    <w:multiLevelType w:val="hybridMultilevel"/>
    <w:lvl w:ilvl="0">
      <w:lvlJc w:val="left"/>
      <w:lvlText w:val="%1."/>
      <w:numFmt w:val="decimal"/>
      <w:start w:val="9"/>
    </w:lvl>
  </w:abstractNum>
  <w:abstractNum w:abstractNumId="157">
    <w:nsid w:val="36B2ACBC"/>
    <w:multiLevelType w:val="hybridMultilevel"/>
    <w:lvl w:ilvl="0">
      <w:lvlJc w:val="left"/>
      <w:lvlText w:val="[***]"/>
      <w:numFmt w:val="bullet"/>
      <w:start w:val="1"/>
    </w:lvl>
    <w:lvl w:ilvl="1">
      <w:lvlJc w:val="left"/>
      <w:lvlText w:val="%2."/>
      <w:numFmt w:val="decimal"/>
      <w:start w:val="10"/>
    </w:lvl>
  </w:abstractNum>
  <w:abstractNum w:abstractNumId="158">
    <w:nsid w:val="779D8544"/>
    <w:multiLevelType w:val="hybridMultilevel"/>
    <w:lvl w:ilvl="0">
      <w:lvlJc w:val="left"/>
      <w:lvlText w:val="[***]"/>
      <w:numFmt w:val="bullet"/>
      <w:start w:val="1"/>
    </w:lvl>
  </w:abstractNum>
  <w:abstractNum w:abstractNumId="159">
    <w:nsid w:val="4AB26E78"/>
    <w:multiLevelType w:val="hybridMultilevel"/>
    <w:lvl w:ilvl="0">
      <w:lvlJc w:val="left"/>
      <w:lvlText w:val="[***]"/>
      <w:numFmt w:val="bullet"/>
      <w:start w:val="1"/>
    </w:lvl>
  </w:abstractNum>
  <w:abstractNum w:abstractNumId="160">
    <w:nsid w:val="21FAA2FA"/>
    <w:multiLevelType w:val="hybridMultilevel"/>
    <w:lvl w:ilvl="0">
      <w:lvlJc w:val="left"/>
      <w:lvlText w:val="%1."/>
      <w:numFmt w:val="decimal"/>
      <w:start w:val="1"/>
    </w:lvl>
  </w:abstractNum>
  <w:abstractNum w:abstractNumId="161">
    <w:nsid w:val="5451CF49"/>
    <w:multiLevelType w:val="hybridMultilevel"/>
    <w:lvl w:ilvl="0">
      <w:lvlJc w:val="left"/>
      <w:lvlText w:val="[***]"/>
      <w:numFmt w:val="bullet"/>
      <w:start w:val="1"/>
    </w:lvl>
  </w:abstractNum>
  <w:abstractNum w:abstractNumId="162">
    <w:nsid w:val="6181EF69"/>
    <w:multiLevelType w:val="hybridMultilevel"/>
    <w:lvl w:ilvl="0">
      <w:lvlJc w:val="left"/>
      <w:lvlText w:val="%1."/>
      <w:numFmt w:val="decimal"/>
      <w:start w:val="2"/>
    </w:lvl>
  </w:abstractNum>
  <w:abstractNum w:abstractNumId="163">
    <w:nsid w:val="3E6400E6"/>
    <w:multiLevelType w:val="hybridMultilevel"/>
    <w:lvl w:ilvl="0">
      <w:lvlJc w:val="left"/>
      <w:lvlText w:val="%1."/>
      <w:numFmt w:val="decimal"/>
      <w:start w:val="3"/>
    </w:lvl>
  </w:abstractNum>
  <w:abstractNum w:abstractNumId="164">
    <w:nsid w:val="14217E23"/>
    <w:multiLevelType w:val="hybridMultilevel"/>
    <w:lvl w:ilvl="0">
      <w:lvlJc w:val="left"/>
      <w:lvlText w:val="[***]"/>
      <w:numFmt w:val="bullet"/>
      <w:start w:val="1"/>
    </w:lvl>
  </w:abstractNum>
  <w:abstractNum w:abstractNumId="165">
    <w:nsid w:val="710757D0"/>
    <w:multiLevelType w:val="hybridMultilevel"/>
    <w:lvl w:ilvl="0">
      <w:lvlJc w:val="left"/>
      <w:lvlText w:val="%1."/>
      <w:numFmt w:val="decimal"/>
      <w:start w:val="4"/>
    </w:lvl>
  </w:abstractNum>
  <w:abstractNum w:abstractNumId="166">
    <w:nsid w:val="5015CD1A"/>
    <w:multiLevelType w:val="hybridMultilevel"/>
    <w:lvl w:ilvl="0">
      <w:lvlJc w:val="left"/>
      <w:lvlText w:val="[***]"/>
      <w:numFmt w:val="bullet"/>
      <w:start w:val="1"/>
    </w:lvl>
  </w:abstractNum>
  <w:abstractNum w:abstractNumId="167">
    <w:nsid w:val="424479DA"/>
    <w:multiLevelType w:val="hybridMultilevel"/>
    <w:lvl w:ilvl="0">
      <w:lvlJc w:val="left"/>
      <w:lvlText w:val="%1."/>
      <w:numFmt w:val="decimal"/>
      <w:start w:val="8"/>
    </w:lvl>
  </w:abstractNum>
  <w:abstractNum w:abstractNumId="168">
    <w:nsid w:val="1A9A9E69"/>
    <w:multiLevelType w:val="hybridMultilevel"/>
    <w:lvl w:ilvl="0">
      <w:lvlJc w:val="left"/>
      <w:lvlText w:val="[***]"/>
      <w:numFmt w:val="bullet"/>
      <w:start w:val="1"/>
    </w:lvl>
  </w:abstractNum>
  <w:abstractNum w:abstractNumId="169">
    <w:nsid w:val="475E256A"/>
    <w:multiLevelType w:val="hybridMultilevel"/>
    <w:lvl w:ilvl="0">
      <w:lvlJc w:val="left"/>
      <w:lvlText w:val="[***]"/>
      <w:numFmt w:val="bullet"/>
      <w:start w:val="1"/>
    </w:lvl>
  </w:abstractNum>
  <w:abstractNum w:abstractNumId="170">
    <w:nsid w:val="368DB37E"/>
    <w:multiLevelType w:val="hybridMultilevel"/>
    <w:lvl w:ilvl="0">
      <w:lvlJc w:val="left"/>
      <w:lvlText w:val="[***]"/>
      <w:numFmt w:val="bullet"/>
      <w:start w:val="1"/>
    </w:lvl>
  </w:abstractNum>
  <w:abstractNum w:abstractNumId="171">
    <w:nsid w:val="6A3B714C"/>
    <w:multiLevelType w:val="hybridMultilevel"/>
    <w:lvl w:ilvl="0">
      <w:lvlJc w:val="left"/>
      <w:lvlText w:val="%1."/>
      <w:numFmt w:val="decimal"/>
      <w:start w:val="1"/>
    </w:lvl>
  </w:abstractNum>
  <w:abstractNum w:abstractNumId="172">
    <w:nsid w:val="327B517E"/>
    <w:multiLevelType w:val="hybridMultilevel"/>
    <w:lvl w:ilvl="0">
      <w:lvlJc w:val="left"/>
      <w:lvlText w:val="%1."/>
      <w:numFmt w:val="decimal"/>
      <w:start w:val="2"/>
    </w:lvl>
  </w:abstractNum>
  <w:abstractNum w:abstractNumId="173">
    <w:nsid w:val="1F461B51"/>
    <w:multiLevelType w:val="hybridMultilevel"/>
    <w:lvl w:ilvl="0">
      <w:lvlJc w:val="left"/>
      <w:lvlText w:val="[***]"/>
      <w:numFmt w:val="bullet"/>
      <w:start w:val="1"/>
    </w:lvl>
  </w:abstractNum>
  <w:abstractNum w:abstractNumId="174">
    <w:nsid w:val="29BACF25"/>
    <w:multiLevelType w:val="hybridMultilevel"/>
    <w:lvl w:ilvl="0">
      <w:lvlJc w:val="left"/>
      <w:lvlText w:val="%1."/>
      <w:numFmt w:val="decimal"/>
      <w:start w:val="3"/>
    </w:lvl>
  </w:abstractNum>
  <w:abstractNum w:abstractNumId="175">
    <w:nsid w:val="5D5BABB3"/>
    <w:multiLevelType w:val="hybridMultilevel"/>
    <w:lvl w:ilvl="0">
      <w:lvlJc w:val="left"/>
      <w:lvlText w:val="[***]"/>
      <w:numFmt w:val="bullet"/>
      <w:start w:val="1"/>
    </w:lvl>
  </w:abstractNum>
  <w:abstractNum w:abstractNumId="176">
    <w:nsid w:val="51BF6B48"/>
    <w:multiLevelType w:val="hybridMultilevel"/>
    <w:lvl w:ilvl="0">
      <w:lvlJc w:val="left"/>
      <w:lvlText w:val="[***]"/>
      <w:numFmt w:val="bullet"/>
      <w:start w:val="1"/>
    </w:lvl>
  </w:abstractNum>
  <w:abstractNum w:abstractNumId="177">
    <w:nsid w:val="7E0F6384"/>
    <w:multiLevelType w:val="hybridMultilevel"/>
    <w:lvl w:ilvl="0">
      <w:lvlJc w:val="left"/>
      <w:lvlText w:val="%1."/>
      <w:numFmt w:val="decimal"/>
      <w:start w:val="1"/>
    </w:lvl>
  </w:abstractNum>
  <w:abstractNum w:abstractNumId="178">
    <w:nsid w:val="2B4B8B53"/>
    <w:multiLevelType w:val="hybridMultilevel"/>
    <w:lvl w:ilvl="0">
      <w:lvlJc w:val="left"/>
      <w:lvlText w:val="[***]"/>
      <w:numFmt w:val="bullet"/>
      <w:start w:val="1"/>
    </w:lvl>
  </w:abstractNum>
  <w:abstractNum w:abstractNumId="179">
    <w:nsid w:val="72E3413A"/>
    <w:multiLevelType w:val="hybridMultilevel"/>
    <w:lvl w:ilvl="0">
      <w:lvlJc w:val="left"/>
      <w:lvlText w:val="[***]"/>
      <w:numFmt w:val="bullet"/>
      <w:start w:val="1"/>
    </w:lvl>
  </w:abstractNum>
  <w:abstractNum w:abstractNumId="180">
    <w:nsid w:val="116AE494"/>
    <w:multiLevelType w:val="hybridMultilevel"/>
    <w:lvl w:ilvl="0">
      <w:lvlJc w:val="left"/>
      <w:lvlText w:val="%1."/>
      <w:numFmt w:val="decimal"/>
      <w:start w:val="3"/>
    </w:lvl>
  </w:abstractNum>
  <w:abstractNum w:abstractNumId="181">
    <w:nsid w:val="3494B2FB"/>
    <w:multiLevelType w:val="hybridMultilevel"/>
    <w:lvl w:ilvl="0">
      <w:lvlJc w:val="left"/>
      <w:lvlText w:val="[***]"/>
      <w:numFmt w:val="bullet"/>
      <w:start w:val="1"/>
    </w:lvl>
  </w:abstractNum>
  <w:abstractNum w:abstractNumId="182">
    <w:nsid w:val="B13A31"/>
    <w:multiLevelType w:val="hybridMultilevel"/>
    <w:lvl w:ilvl="0">
      <w:lvlJc w:val="left"/>
      <w:lvlText w:val="[***]"/>
      <w:numFmt w:val="bullet"/>
      <w:start w:val="1"/>
    </w:lvl>
  </w:abstractNum>
  <w:abstractNum w:abstractNumId="183">
    <w:nsid w:val="64429599"/>
    <w:multiLevelType w:val="hybridMultilevel"/>
    <w:lvl w:ilvl="0">
      <w:lvlJc w:val="left"/>
      <w:lvlText w:val="[***]"/>
      <w:numFmt w:val="bullet"/>
      <w:start w:val="1"/>
    </w:lvl>
  </w:abstractNum>
  <w:abstractNum w:abstractNumId="184">
    <w:nsid w:val="631F1690"/>
    <w:multiLevelType w:val="hybridMultilevel"/>
    <w:lvl w:ilvl="0">
      <w:lvlJc w:val="left"/>
      <w:lvlText w:val="%1."/>
      <w:numFmt w:val="decimal"/>
      <w:start w:val="1"/>
    </w:lvl>
  </w:abstractNum>
  <w:abstractNum w:abstractNumId="185">
    <w:nsid w:val="25973E32"/>
    <w:multiLevelType w:val="hybridMultilevel"/>
    <w:lvl w:ilvl="0">
      <w:lvlJc w:val="left"/>
      <w:lvlText w:val="[***]"/>
      <w:numFmt w:val="bullet"/>
      <w:start w:val="1"/>
    </w:lvl>
    <w:lvl w:ilvl="1">
      <w:lvlJc w:val="left"/>
      <w:lvlText w:val="(%2)"/>
      <w:numFmt w:val="lowerLetter"/>
      <w:start w:val="1"/>
    </w:lvl>
  </w:abstractNum>
  <w:abstractNum w:abstractNumId="186">
    <w:nsid w:val="EAD6F57"/>
    <w:multiLevelType w:val="hybridMultilevel"/>
    <w:lvl w:ilvl="0">
      <w:lvlJc w:val="left"/>
      <w:lvlText w:val="[***]"/>
      <w:numFmt w:val="bullet"/>
      <w:start w:val="1"/>
    </w:lvl>
  </w:abstractNum>
  <w:abstractNum w:abstractNumId="187">
    <w:nsid w:val="6EC9D844"/>
    <w:multiLevelType w:val="hybridMultilevel"/>
    <w:lvl w:ilvl="0">
      <w:lvlJc w:val="left"/>
      <w:lvlText w:val="%1."/>
      <w:numFmt w:val="decimal"/>
      <w:start w:val="3"/>
    </w:lvl>
  </w:abstractNum>
  <w:abstractNum w:abstractNumId="188">
    <w:nsid w:val="5C49EAEE"/>
    <w:multiLevelType w:val="hybridMultilevel"/>
    <w:lvl w:ilvl="0">
      <w:lvlJc w:val="left"/>
      <w:lvlText w:val="[***]"/>
      <w:numFmt w:val="bullet"/>
      <w:start w:val="1"/>
    </w:lvl>
  </w:abstractNum>
  <w:abstractNum w:abstractNumId="189">
    <w:nsid w:val="64AF49B"/>
    <w:multiLevelType w:val="hybridMultilevel"/>
    <w:lvl w:ilvl="0">
      <w:lvlJc w:val="left"/>
      <w:lvlText w:val="[***]"/>
      <w:numFmt w:val="bullet"/>
      <w:start w:val="1"/>
    </w:lvl>
  </w:abstractNum>
  <w:abstractNum w:abstractNumId="190">
    <w:nsid w:val="397C46B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2022-08-15T08:24:31Z</dcterms:created>
  <dcterms:modified xsi:type="dcterms:W3CDTF">2022-08-15T08:24:31Z</dcterms:modified>
</cp:coreProperties>
</file>