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1"/>
        <w:jc w:val="both"/>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8"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319" w:before="1" w:after="1"/>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1" w:after="1"/>
        <w:jc w:val="center"/>
        <w:rPr/>
      </w:pPr>
      <w:r>
        <w:rPr/>
      </w:r>
    </w:p>
    <w:p>
      <w:pPr>
        <w:pStyle w:val="TextBody"/>
        <w:bidi w:val="0"/>
        <w:spacing w:lineRule="auto" w:line="319" w:before="1" w:after="1"/>
        <w:jc w:val="center"/>
        <w:rPr>
          <w:rFonts w:ascii="Times New Roman;serif" w:hAnsi="Times New Roman;serif"/>
          <w:b/>
          <w:color w:val="000000"/>
          <w:sz w:val="28"/>
        </w:rPr>
      </w:pPr>
      <w:r>
        <w:rPr>
          <w:rFonts w:ascii="Times New Roman;serif" w:hAnsi="Times New Roman;serif"/>
          <w:b/>
          <w:color w:val="000000"/>
          <w:sz w:val="28"/>
        </w:rPr>
        <w:t>FORM 6-K</w:t>
      </w:r>
    </w:p>
    <w:p>
      <w:pPr>
        <w:pStyle w:val="TextBody"/>
        <w:bidi w:val="0"/>
        <w:spacing w:before="1" w:after="1"/>
        <w:jc w:val="center"/>
        <w:rPr/>
      </w:pPr>
      <w:r>
        <w:rPr/>
      </w:r>
    </w:p>
    <w:p>
      <w:pPr>
        <w:pStyle w:val="TextBody"/>
        <w:bidi w:val="0"/>
        <w:spacing w:lineRule="auto" w:line="240" w:before="7" w:after="283"/>
        <w:jc w:val="center"/>
        <w:rPr>
          <w:rFonts w:ascii="Times New Roman;serif" w:hAnsi="Times New Roman;serif"/>
          <w:b/>
          <w:color w:val="000000"/>
          <w:sz w:val="20"/>
        </w:rPr>
      </w:pPr>
      <w:r>
        <w:rPr>
          <w:rFonts w:ascii="Times New Roman;serif" w:hAnsi="Times New Roman;serif"/>
          <w:b/>
          <w:color w:val="000000"/>
          <w:sz w:val="20"/>
        </w:rPr>
        <w:t xml:space="preserve">REPORT OF FOREIGN PRIVATE ISSUER PURSUANT TO RULE 13a-16 OR 15d-16 UNDER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319" w:before="1" w:after="1"/>
        <w:jc w:val="center"/>
        <w:rPr>
          <w:rFonts w:ascii="Times New Roman;serif" w:hAnsi="Times New Roman;serif"/>
          <w:b/>
          <w:color w:val="000000"/>
          <w:sz w:val="20"/>
        </w:rPr>
      </w:pPr>
      <w:r>
        <w:rPr>
          <w:rFonts w:ascii="Times New Roman;serif" w:hAnsi="Times New Roman;serif"/>
          <w:b/>
          <w:color w:val="000000"/>
          <w:sz w:val="20"/>
        </w:rPr>
        <w:t>Date of Report: May 13, 2026</w:t>
      </w:r>
    </w:p>
    <w:p>
      <w:pPr>
        <w:pStyle w:val="TextBody"/>
        <w:bidi w:val="0"/>
        <w:spacing w:before="1" w:after="1"/>
        <w:jc w:val="center"/>
        <w:rPr/>
      </w:pPr>
      <w:r>
        <w:rPr/>
      </w:r>
    </w:p>
    <w:p>
      <w:pPr>
        <w:pStyle w:val="TextBody"/>
        <w:bidi w:val="0"/>
        <w:spacing w:lineRule="auto" w:line="319" w:before="1" w:after="1"/>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001-40377</w:t>
      </w:r>
    </w:p>
    <w:p>
      <w:pPr>
        <w:pStyle w:val="TextBody"/>
        <w:bidi w:val="0"/>
        <w:spacing w:before="1" w:after="1"/>
        <w:jc w:val="center"/>
        <w:rPr/>
      </w:pPr>
      <w:r>
        <w:rPr/>
      </w:r>
    </w:p>
    <w:p>
      <w:pPr>
        <w:pStyle w:val="TextBody"/>
        <w:bidi w:val="0"/>
        <w:spacing w:lineRule="auto" w:line="319" w:before="1" w:after="1"/>
        <w:jc w:val="center"/>
        <w:rPr>
          <w:rFonts w:ascii="Times New Roman;serif" w:hAnsi="Times New Roman;serif"/>
          <w:b/>
          <w:color w:val="000000"/>
          <w:sz w:val="24"/>
        </w:rPr>
      </w:pPr>
      <w:r>
        <w:rPr>
          <w:rFonts w:ascii="Times New Roman;serif" w:hAnsi="Times New Roman;serif"/>
          <w:b/>
          <w:color w:val="000000"/>
          <w:sz w:val="24"/>
        </w:rPr>
        <w:t>Valneva SE</w:t>
      </w:r>
    </w:p>
    <w:p>
      <w:pPr>
        <w:pStyle w:val="TextBody"/>
        <w:bidi w:val="0"/>
        <w:spacing w:lineRule="auto" w:line="240" w:before="16" w:after="283"/>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11" w:after="283"/>
        <w:jc w:val="left"/>
        <w:rPr/>
      </w:pPr>
      <w:r>
        <w:rPr/>
      </w:r>
    </w:p>
    <w:p>
      <w:pPr>
        <w:pStyle w:val="TextBody"/>
        <w:bidi w:val="0"/>
        <w:spacing w:lineRule="auto" w:line="307" w:before="0" w:after="0"/>
        <w:jc w:val="center"/>
        <w:rPr>
          <w:rFonts w:ascii="Times New Roman;serif" w:hAnsi="Times New Roman;serif"/>
          <w:b/>
          <w:color w:val="000000"/>
          <w:sz w:val="16"/>
        </w:rPr>
      </w:pPr>
      <w:r>
        <w:rPr>
          <w:rFonts w:ascii="Times New Roman;serif" w:hAnsi="Times New Roman;serif"/>
          <w:b/>
          <w:color w:val="000000"/>
          <w:sz w:val="16"/>
        </w:rPr>
        <w:t>Îlot Saint-Joseph, Bureaux Convergence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12ter Quai Perrache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69002 Lyon, France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p>
      <w:pPr>
        <w:pStyle w:val="TextBody"/>
        <w:bidi w:val="0"/>
        <w:spacing w:before="0" w:after="0"/>
        <w:jc w:val="both"/>
        <w:rPr/>
      </w:pPr>
      <w:r>
        <w:rPr/>
      </w:r>
    </w:p>
    <w:p>
      <w:pPr>
        <w:pStyle w:val="TextBody"/>
        <w:bidi w:val="0"/>
        <w:spacing w:lineRule="auto" w:line="240" w:before="1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40-F.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Form 20-F ☒ Form 40-F ☐</w:t>
      </w:r>
    </w:p>
    <w:p>
      <w:pPr>
        <w:pStyle w:val="TextBody"/>
        <w:bidi w:val="0"/>
        <w:spacing w:before="10" w:after="283"/>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13, 2026, the Registrant announced its results for the three months ended March 31, 2026 and issued a press release and unaudited interim condensed consolidated financial statements, copies of which are attached hereto as Exhibits 99.1, and 99.2, respectively. The information contained in this Form 6-K, but excluding the section entitled “Financial Outlook” in Exhibit 99.1, is hereby incorporated by reference into the registrant's Registration Statement on Form F-3 (File No. 333-268071).</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84"/>
        <w:gridCol w:w="338"/>
        <w:gridCol w:w="339"/>
        <w:gridCol w:w="2743"/>
        <w:gridCol w:w="2636"/>
        <w:gridCol w:w="3765"/>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1061"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914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126resultspr.htm">
              <w:r>
                <w:rPr>
                  <w:rStyle w:val="InternetLink"/>
                  <w:rFonts w:ascii="Times New Roman;serif" w:hAnsi="Times New Roman;serif"/>
                  <w:b w:val="false"/>
                  <w:color w:val="0000FF"/>
                  <w:sz w:val="20"/>
                  <w:u w:val="single"/>
                </w:rPr>
                <w:t>Press release dated May 13, 2026</w:t>
              </w:r>
            </w:hyperlink>
          </w:p>
        </w:tc>
      </w:tr>
      <w:tr>
        <w:trPr/>
        <w:tc>
          <w:tcPr>
            <w:tcW w:w="10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Exhibit 99.2</w:t>
            </w:r>
          </w:p>
        </w:tc>
        <w:tc>
          <w:tcPr>
            <w:tcW w:w="914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valn-20260331.htm">
              <w:r>
                <w:rPr>
                  <w:rStyle w:val="InternetLink"/>
                  <w:rFonts w:ascii="Times New Roman;serif" w:hAnsi="Times New Roman;serif"/>
                  <w:b w:val="false"/>
                  <w:color w:val="0000FF"/>
                  <w:sz w:val="20"/>
                  <w:u w:val="single"/>
                </w:rPr>
                <w:t>Unaudited Interim Condensed Consolidated Financial Statements as at March 31, 2026 and for the three months ended March 31, 2026</w:t>
              </w:r>
            </w:hyperlink>
          </w:p>
        </w:tc>
      </w:tr>
    </w:tbl>
    <w:p>
      <w:pPr>
        <w:pStyle w:val="TextBody"/>
        <w:bidi w:val="0"/>
        <w:spacing w:before="1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895"/>
                <wp:effectExtent l="0" t="0" r="0" b="0"/>
                <wp:wrapNone/>
                <wp:docPr id="1" name="Frame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 w:after="1"/>
                        <w:jc w:val="both"/>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585"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09"/>
        <w:gridCol w:w="109"/>
        <w:gridCol w:w="109"/>
        <w:gridCol w:w="1054"/>
        <w:gridCol w:w="1054"/>
        <w:gridCol w:w="105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pPr>
            <w:r>
              <w:rPr>
                <w:rFonts w:ascii="Times New Roman;serif" w:hAnsi="Times New Roman;serif"/>
                <w:b/>
                <w:color w:val="000000"/>
                <w:sz w:val="20"/>
                <w:u w:val="single"/>
              </w:rPr>
              <w:t>Valneva SE</w:t>
            </w:r>
            <w:r>
              <w:rPr>
                <w:color w:val="000000"/>
              </w:rPr>
              <w:t xml:space="preserve"> </w:t>
            </w: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Date: May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pPr>
            <w:r>
              <w:rPr>
                <w:rFonts w:ascii="Times New Roman;serif" w:hAnsi="Times New Roman;serif"/>
                <w:b w:val="false"/>
                <w:color w:val="000000"/>
                <w:sz w:val="20"/>
                <w:u w:val="single"/>
              </w:rPr>
              <w:t>/s/ Thomas Lingelbach</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Thomas Lingelbach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jc w:val="right"/>
        <w:rPr/>
      </w:pPr>
      <w:r>
        <w:rPr/>
      </w:r>
    </w:p>
    <w:p>
      <w:pPr>
        <w:pStyle w:val="TextBody"/>
        <w:bidi w:val="0"/>
        <w:spacing w:before="1" w:after="1"/>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E3C73"/>
          <w:sz w:val="14"/>
        </w:rPr>
      </w:pPr>
      <w:r>
        <w:rPr>
          <w:rFonts w:ascii="Arial;sans-serif" w:hAnsi="Arial;sans-serif"/>
          <w:b/>
          <w:color w:val="1E3C73"/>
          <w:sz w:val="14"/>
        </w:rPr>
        <w:t>VALNEVA SE</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895"/>
                <wp:effectExtent l="0" t="0" r="0" b="0"/>
                <wp:wrapNone/>
                <wp:docPr id="2" name="Frame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lineRule="auto" w:line="288" w:before="0" w:after="0"/>
        <w:ind w:left="0" w:right="0" w:hanging="2160"/>
        <w:jc w:val="left"/>
        <w:rPr>
          <w:rFonts w:ascii="Arial;sans-serif" w:hAnsi="Arial;sans-serif"/>
          <w:b w:val="false"/>
          <w:i/>
          <w:color w:val="00A0CD"/>
          <w:sz w:val="14"/>
        </w:rPr>
      </w:pPr>
      <w:r>
        <w:rPr>
          <w:rFonts w:ascii="Arial;sans-serif" w:hAnsi="Arial;sans-serif"/>
          <w:b w:val="false"/>
          <w:i/>
          <w:color w:val="00A0CD"/>
          <w:sz w:val="14"/>
        </w:rPr>
        <w:t>Îlot Saint-Joseph, Bureaux Convergence, Bât. A,  </w:t>
      </w:r>
    </w:p>
    <w:p>
      <w:pPr>
        <w:pStyle w:val="TextBody"/>
        <w:bidi w:val="0"/>
        <w:spacing w:lineRule="auto" w:line="288" w:before="0" w:after="0"/>
        <w:ind w:left="0" w:right="0" w:hanging="2160"/>
        <w:jc w:val="left"/>
        <w:rPr>
          <w:rFonts w:ascii="Arial;sans-serif" w:hAnsi="Arial;sans-serif"/>
          <w:b w:val="false"/>
          <w:i/>
          <w:color w:val="00A0CD"/>
          <w:sz w:val="14"/>
        </w:rPr>
      </w:pPr>
      <w:r>
        <w:rPr>
          <w:rFonts w:ascii="Arial;sans-serif" w:hAnsi="Arial;sans-serif"/>
          <w:b w:val="false"/>
          <w:i/>
          <w:color w:val="00A0CD"/>
          <w:sz w:val="14"/>
        </w:rPr>
        <w:t>12 ter Quai Perrache </w:t>
      </w:r>
    </w:p>
    <w:p>
      <w:pPr>
        <w:pStyle w:val="TextBody"/>
        <w:bidi w:val="0"/>
        <w:spacing w:lineRule="auto" w:line="288" w:before="0" w:after="0"/>
        <w:ind w:left="0" w:right="0" w:hanging="2160"/>
        <w:jc w:val="left"/>
        <w:rPr>
          <w:rFonts w:ascii="Arial;sans-serif" w:hAnsi="Arial;sans-serif"/>
          <w:b w:val="false"/>
          <w:i/>
          <w:color w:val="00A0CD"/>
          <w:sz w:val="14"/>
        </w:rPr>
      </w:pPr>
      <w:r>
        <w:rPr>
          <w:rFonts w:ascii="Arial;sans-serif" w:hAnsi="Arial;sans-serif"/>
          <w:b w:val="false"/>
          <w:i/>
          <w:color w:val="00A0CD"/>
          <w:sz w:val="14"/>
        </w:rPr>
        <w:t>69002 Lyon, France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A0CD"/>
          <w:sz w:val="32"/>
        </w:rPr>
      </w:pPr>
      <w:r>
        <w:rPr>
          <w:rFonts w:ascii="Arial;sans-serif" w:hAnsi="Arial;sans-serif"/>
          <w:b/>
          <w:color w:val="00A0CD"/>
          <w:sz w:val="32"/>
        </w:rPr>
        <w:t>Valneva Reports First Quarter 2026 Financial Results and</w:t>
      </w:r>
    </w:p>
    <w:p>
      <w:pPr>
        <w:pStyle w:val="TextBody"/>
        <w:bidi w:val="0"/>
        <w:spacing w:lineRule="auto" w:line="288" w:before="0" w:after="0"/>
        <w:jc w:val="center"/>
        <w:rPr>
          <w:rFonts w:ascii="Arial;sans-serif" w:hAnsi="Arial;sans-serif"/>
          <w:b/>
          <w:color w:val="00A0CD"/>
          <w:sz w:val="32"/>
        </w:rPr>
      </w:pPr>
      <w:r>
        <w:rPr>
          <w:rFonts w:ascii="Arial;sans-serif" w:hAnsi="Arial;sans-serif"/>
          <w:b/>
          <w:color w:val="00A0CD"/>
          <w:sz w:val="32"/>
        </w:rPr>
        <w:t>Provides Corporate Updates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1E4179"/>
        </w:rPr>
        <w:t>•</w:t>
      </w:r>
      <w:r>
        <w:rPr>
          <w:rFonts w:ascii="Arial;sans-serif" w:hAnsi="Arial;sans-serif"/>
          <w:b/>
          <w:color w:val="1E3C73"/>
          <w:sz w:val="24"/>
        </w:rPr>
        <w:t xml:space="preserve">Total </w:t>
      </w:r>
      <w:r>
        <w:rPr>
          <w:rFonts w:ascii="Arial;sans-serif" w:hAnsi="Arial;sans-serif"/>
          <w:b/>
          <w:color w:val="1E4179"/>
          <w:sz w:val="24"/>
        </w:rPr>
        <w:t xml:space="preserve">product sales of €30.5 million </w:t>
      </w:r>
    </w:p>
    <w:p>
      <w:pPr>
        <w:pStyle w:val="TextBody"/>
        <w:bidi w:val="0"/>
        <w:spacing w:lineRule="auto" w:line="288" w:before="0" w:after="120"/>
        <w:ind w:left="0" w:right="0" w:hanging="360"/>
        <w:jc w:val="both"/>
        <w:rPr/>
      </w:pPr>
      <w:r>
        <w:rPr>
          <w:color w:val="1E3C73"/>
        </w:rPr>
        <w:t>•</w:t>
      </w:r>
      <w:r>
        <w:rPr>
          <w:rFonts w:ascii="Arial;sans-serif" w:hAnsi="Arial;sans-serif"/>
          <w:b/>
          <w:color w:val="1E3C73"/>
          <w:sz w:val="24"/>
        </w:rPr>
        <w:t>Cash position of €105.3 million as of end March 2026, excluding proceeds from successful reserved offering completed in April 2026</w:t>
      </w:r>
      <w:r>
        <w:rPr>
          <w:rFonts w:ascii="Arial;sans-serif" w:hAnsi="Arial;sans-serif"/>
          <w:b/>
          <w:color w:val="1E3C73"/>
          <w:sz w:val="16"/>
        </w:rPr>
        <w:t>1</w:t>
      </w:r>
    </w:p>
    <w:p>
      <w:pPr>
        <w:pStyle w:val="TextBody"/>
        <w:bidi w:val="0"/>
        <w:spacing w:lineRule="auto" w:line="288" w:before="0" w:after="120"/>
        <w:ind w:left="0" w:right="0" w:hanging="360"/>
        <w:jc w:val="both"/>
        <w:rPr/>
      </w:pPr>
      <w:r>
        <w:rPr>
          <w:color w:val="1E3C73"/>
        </w:rPr>
        <w:t>•</w:t>
      </w:r>
      <w:r>
        <w:rPr>
          <w:rFonts w:ascii="Arial;sans-serif" w:hAnsi="Arial;sans-serif"/>
          <w:b/>
          <w:color w:val="1E3C73"/>
          <w:sz w:val="24"/>
        </w:rPr>
        <w:t>Program launched in April to further reduce operating expenses</w:t>
      </w:r>
    </w:p>
    <w:p>
      <w:pPr>
        <w:pStyle w:val="TextBody"/>
        <w:bidi w:val="0"/>
        <w:spacing w:lineRule="auto" w:line="288" w:before="0" w:after="0"/>
        <w:ind w:left="0" w:right="0" w:hanging="360"/>
        <w:jc w:val="both"/>
        <w:rPr/>
      </w:pPr>
      <w:r>
        <w:rPr>
          <w:color w:val="1E3C73"/>
        </w:rPr>
        <w:t>•</w:t>
      </w:r>
      <w:r>
        <w:rPr>
          <w:rFonts w:ascii="Arial;sans-serif" w:hAnsi="Arial;sans-serif"/>
          <w:b/>
          <w:color w:val="1E3C73"/>
          <w:sz w:val="24"/>
        </w:rPr>
        <w:t>Pfizer expected to file regulatory submissions for Lyme disease vaccine candidate</w:t>
      </w:r>
    </w:p>
    <w:p>
      <w:pPr>
        <w:pStyle w:val="TextBody"/>
        <w:bidi w:val="0"/>
        <w:spacing w:before="0" w:after="0"/>
        <w:jc w:val="both"/>
        <w:rPr/>
      </w:pPr>
      <w:r>
        <w:rPr/>
      </w:r>
    </w:p>
    <w:p>
      <w:pPr>
        <w:pStyle w:val="TextBody"/>
        <w:bidi w:val="0"/>
        <w:spacing w:lineRule="auto" w:line="319" w:before="0" w:after="160"/>
        <w:jc w:val="both"/>
        <w:rPr/>
      </w:pPr>
      <w:r>
        <w:rPr>
          <w:rFonts w:ascii="Arial;sans-serif" w:hAnsi="Arial;sans-serif"/>
          <w:b/>
          <w:color w:val="1E3C73"/>
          <w:sz w:val="22"/>
        </w:rPr>
        <w:t xml:space="preserve">Lyon (France), May 13, 2026 </w:t>
      </w:r>
      <w:r>
        <w:rPr>
          <w:color w:val="002060"/>
        </w:rPr>
        <w:t xml:space="preserve">– </w:t>
      </w:r>
      <w:r>
        <w:rPr>
          <w:rFonts w:ascii="Arial;sans-serif" w:hAnsi="Arial;sans-serif"/>
          <w:b w:val="false"/>
          <w:color w:val="000000"/>
          <w:sz w:val="22"/>
        </w:rPr>
        <w:t>Valneva SE</w:t>
      </w:r>
      <w:r>
        <w:rPr>
          <w:color w:val="002060"/>
        </w:rPr>
        <w:t xml:space="preserve"> </w:t>
      </w:r>
      <w:r>
        <w:rPr>
          <w:rFonts w:ascii="Arial;sans-serif" w:hAnsi="Arial;sans-serif"/>
          <w:b w:val="false"/>
          <w:color w:val="002060"/>
          <w:sz w:val="22"/>
        </w:rPr>
        <w:t>(Nasdaq: VALN; Euronext Paris: VLA), a specialty vaccine company, today reported its financial results for the first quarter ended March 31, 2026, provided key corporate updates, and updated its 2026 financial guidance. The condensed consolidated interim financial results are available on the Company’s website (</w:t>
      </w:r>
      <w:r>
        <w:rPr>
          <w:rFonts w:ascii="Arial;sans-serif" w:hAnsi="Arial;sans-serif"/>
          <w:b w:val="false"/>
          <w:color w:val="000000"/>
          <w:sz w:val="22"/>
        </w:rPr>
        <w:t>Financial Reports – Valneva</w:t>
      </w:r>
      <w:r>
        <w:rPr>
          <w:rFonts w:ascii="Arial;sans-serif" w:hAnsi="Arial;sans-serif"/>
          <w:b w:val="false"/>
          <w:color w:val="002060"/>
          <w:sz w:val="22"/>
        </w:rPr>
        <w:t>).</w:t>
      </w:r>
    </w:p>
    <w:p>
      <w:pPr>
        <w:pStyle w:val="TextBody"/>
        <w:bidi w:val="0"/>
        <w:spacing w:lineRule="auto" w:line="319" w:before="0" w:after="0"/>
        <w:jc w:val="both"/>
        <w:rPr/>
      </w:pPr>
      <w:r>
        <w:rPr>
          <w:rFonts w:ascii="Arial;sans-serif" w:hAnsi="Arial;sans-serif"/>
          <w:b w:val="false"/>
          <w:color w:val="002060"/>
          <w:sz w:val="22"/>
        </w:rPr>
        <w:t xml:space="preserve">Valneva will provide a live webcast of its first quarter 2026 results conference call beginning </w:t>
        <w:br/>
        <w:t xml:space="preserve">at 3 p.m. CEST/9 a.m. EDT today. This webcast will also be available on the Company’s website. Please refer to this link: </w:t>
      </w:r>
      <w:r>
        <w:rPr>
          <w:rFonts w:ascii="Arial;sans-serif" w:hAnsi="Arial;sans-serif"/>
          <w:b w:val="false"/>
          <w:color w:val="000000"/>
          <w:sz w:val="22"/>
        </w:rPr>
        <w:t>https://edge.media-server.com/mmc/p/xbkzgkz7</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3C73"/>
          <w:sz w:val="22"/>
        </w:rPr>
      </w:pPr>
      <w:r>
        <w:rPr>
          <w:rFonts w:ascii="Arial;sans-serif" w:hAnsi="Arial;sans-serif"/>
          <w:b/>
          <w:color w:val="1E3C73"/>
          <w:sz w:val="22"/>
        </w:rPr>
        <w:t>First quarter 2026 Financial Update</w:t>
      </w:r>
    </w:p>
    <w:p>
      <w:pPr>
        <w:pStyle w:val="TextBody"/>
        <w:bidi w:val="0"/>
        <w:spacing w:lineRule="auto" w:line="319" w:before="0" w:after="0"/>
        <w:ind w:left="0" w:right="0" w:hanging="360"/>
        <w:jc w:val="both"/>
        <w:rPr/>
      </w:pPr>
      <w:r>
        <w:rPr>
          <w:color w:val="1E3C73"/>
        </w:rPr>
        <w:t>•</w:t>
      </w:r>
      <w:r>
        <w:rPr>
          <w:rFonts w:ascii="Arial;sans-serif" w:hAnsi="Arial;sans-serif"/>
          <w:b w:val="false"/>
          <w:color w:val="1E3C73"/>
          <w:sz w:val="22"/>
        </w:rPr>
        <w:t xml:space="preserve">Total revenues were €30.9 million, including €30.5 million in product sales, compared with €49.2 million and €48.6 million, respectively, in the first quarter of 2025, mainly </w:t>
      </w:r>
      <w:r>
        <w:rPr>
          <w:rFonts w:ascii="Arial;sans-serif" w:hAnsi="Arial;sans-serif"/>
          <w:b w:val="false"/>
          <w:color w:val="002060"/>
          <w:sz w:val="22"/>
        </w:rPr>
        <w:t>reflecting the planned wind-down of third-party sales (-97.6% versus the first quarter of 2025) and a different shipment phasing to the U.S. Department of Defense</w:t>
      </w:r>
    </w:p>
    <w:p>
      <w:pPr>
        <w:pStyle w:val="TextBody"/>
        <w:bidi w:val="0"/>
        <w:spacing w:lineRule="auto" w:line="319" w:before="0" w:after="0"/>
        <w:ind w:left="0" w:right="0" w:hanging="360"/>
        <w:jc w:val="both"/>
        <w:rPr/>
      </w:pPr>
      <w:r>
        <w:rPr>
          <w:color w:val="000000"/>
        </w:rPr>
        <w:t>•</w:t>
      </w:r>
      <w:r>
        <w:rPr>
          <w:rFonts w:ascii="Arial;sans-serif" w:hAnsi="Arial;sans-serif"/>
          <w:b w:val="false"/>
          <w:color w:val="002060"/>
          <w:sz w:val="22"/>
        </w:rPr>
        <w:t xml:space="preserve">Operating cash burn continued to decline, improving to €0.3 million in the first quarter of 2026, compared to </w:t>
      </w:r>
      <w:r>
        <w:rPr>
          <w:color w:val="1E3C73"/>
        </w:rPr>
        <w:t>€</w:t>
      </w:r>
      <w:r>
        <w:rPr>
          <w:rFonts w:ascii="Arial;sans-serif" w:hAnsi="Arial;sans-serif"/>
          <w:b w:val="false"/>
          <w:color w:val="1E3C73"/>
          <w:sz w:val="22"/>
        </w:rPr>
        <w:t>8.1 million in the first quarter of 2025</w:t>
      </w:r>
    </w:p>
    <w:p>
      <w:pPr>
        <w:pStyle w:val="TextBody"/>
        <w:bidi w:val="0"/>
        <w:spacing w:lineRule="auto" w:line="319" w:before="0" w:after="0"/>
        <w:ind w:left="0" w:right="0" w:hanging="360"/>
        <w:jc w:val="both"/>
        <w:rPr/>
      </w:pPr>
      <w:r>
        <w:rPr>
          <w:color w:val="1E3C73"/>
        </w:rPr>
        <w:t>•</w:t>
      </w:r>
      <w:r>
        <w:rPr>
          <w:rFonts w:ascii="Arial;sans-serif" w:hAnsi="Arial;sans-serif"/>
          <w:b w:val="false"/>
          <w:color w:val="1E3C73"/>
          <w:sz w:val="22"/>
        </w:rPr>
        <w:t xml:space="preserve">Cash position of €105.3 million as of March 31, 2026, compared to </w:t>
        <w:br/>
        <w:t>€109.7 million as of December 31, 2025</w:t>
      </w:r>
    </w:p>
    <w:p>
      <w:pPr>
        <w:pStyle w:val="TextBody"/>
        <w:bidi w:val="0"/>
        <w:spacing w:lineRule="auto" w:line="319" w:before="0" w:after="0"/>
        <w:ind w:left="0" w:right="0" w:hanging="360"/>
        <w:jc w:val="both"/>
        <w:rPr/>
      </w:pPr>
      <w:r>
        <w:rPr>
          <w:rFonts w:ascii="Courier New;serif" w:hAnsi="Courier New;serif"/>
          <w:b w:val="false"/>
          <w:color w:val="1E3C73"/>
          <w:sz w:val="22"/>
        </w:rPr>
        <w:t>o</w:t>
      </w:r>
      <w:r>
        <w:rPr>
          <w:rFonts w:ascii="Arial;sans-serif" w:hAnsi="Arial;sans-serif"/>
          <w:b w:val="false"/>
          <w:color w:val="1E3C73"/>
          <w:sz w:val="22"/>
        </w:rPr>
        <w:t>Excludes €37.0 million in gross proceeds from recent successful reserved offering</w:t>
      </w:r>
      <w:r>
        <w:rPr>
          <w:rFonts w:ascii="Arial;sans-serif" w:hAnsi="Arial;sans-serif"/>
          <w:b w:val="false"/>
          <w:color w:val="1E3C73"/>
          <w:sz w:val="14"/>
        </w:rPr>
        <w:t>1</w:t>
      </w:r>
    </w:p>
    <w:p>
      <w:pPr>
        <w:pStyle w:val="TextBody"/>
        <w:bidi w:val="0"/>
        <w:spacing w:lineRule="auto" w:line="319" w:before="0" w:after="0"/>
        <w:ind w:left="0" w:right="0" w:hanging="360"/>
        <w:jc w:val="both"/>
        <w:rPr/>
      </w:pPr>
      <w:r>
        <w:rPr>
          <w:color w:val="1E3C73"/>
        </w:rPr>
        <w:t>•</w:t>
      </w:r>
      <w:r>
        <w:rPr>
          <w:rFonts w:ascii="Arial;sans-serif" w:hAnsi="Arial;sans-serif"/>
          <w:b w:val="false"/>
          <w:color w:val="1E3C73"/>
          <w:sz w:val="22"/>
        </w:rPr>
        <w:t>Net loss of €32.1 million, compared with a net loss of €9.2 million in the first quarter of 2025 mainly impacted by one-off effects in cost of goods (termination of contracts, standard cost adjustment, inventory write-offs), in addition to idle cost and lower sales.</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3C73"/>
          <w:sz w:val="22"/>
        </w:rPr>
      </w:pPr>
      <w:r>
        <w:rPr>
          <w:rFonts w:ascii="Arial;sans-serif" w:hAnsi="Arial;sans-serif"/>
          <w:b/>
          <w:color w:val="1E3C73"/>
          <w:sz w:val="22"/>
        </w:rPr>
        <w:t>Financial Outlook</w:t>
      </w:r>
    </w:p>
    <w:p>
      <w:pPr>
        <w:pStyle w:val="TextBody"/>
        <w:bidi w:val="0"/>
        <w:spacing w:lineRule="auto" w:line="288" w:before="0" w:after="0"/>
        <w:ind w:left="0" w:right="0" w:hanging="360"/>
        <w:jc w:val="both"/>
        <w:rPr/>
      </w:pPr>
      <w:r>
        <w:rPr>
          <w:color w:val="002060"/>
        </w:rPr>
        <w:t xml:space="preserve">• </w:t>
      </w:r>
      <w:r>
        <w:rPr>
          <w:rFonts w:ascii="Arial;sans-serif" w:hAnsi="Arial;sans-serif"/>
          <w:b w:val="false"/>
          <w:color w:val="002060"/>
          <w:sz w:val="22"/>
        </w:rPr>
        <w:t xml:space="preserve">Valneva is adjusting its 2026 sales and revenue guidance partially as a result of an emerging adverse trend in travel vaccine uptake across key markets, driven by geopolitical factors. The </w:t>
      </w:r>
    </w:p>
    <w:p>
      <w:pPr>
        <w:pStyle w:val="TextBody"/>
        <w:bidi w:val="0"/>
        <w:spacing w:lineRule="auto" w:line="288"/>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2026_04_30_Financing_PR_EN_Final.pdf</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May 13, 2026 VALNEVA SE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May 13, 2026 VALNEVA SE</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2060"/>
          <w:sz w:val="22"/>
        </w:rPr>
      </w:pPr>
      <w:r>
        <w:rPr>
          <w:rFonts w:ascii="Arial;sans-serif" w:hAnsi="Arial;sans-serif"/>
          <w:b w:val="false"/>
          <w:color w:val="002060"/>
          <w:sz w:val="22"/>
        </w:rPr>
        <w:t xml:space="preserve">Company is therefore revising its product sales guidance to €135 million to €150 million from €145 million to €160 million previously </w:t>
      </w:r>
    </w:p>
    <w:p>
      <w:pPr>
        <w:pStyle w:val="TextBody"/>
        <w:bidi w:val="0"/>
        <w:spacing w:lineRule="auto" w:line="288" w:before="0" w:after="0"/>
        <w:ind w:left="0" w:right="0" w:hanging="360"/>
        <w:jc w:val="both"/>
        <w:rPr/>
      </w:pPr>
      <w:r>
        <w:rPr>
          <w:rFonts w:ascii="Courier New;serif" w:hAnsi="Courier New;serif"/>
          <w:b w:val="false"/>
          <w:color w:val="002060"/>
          <w:sz w:val="22"/>
        </w:rPr>
        <w:t>o</w:t>
      </w:r>
      <w:r>
        <w:rPr>
          <w:rFonts w:ascii="Arial;sans-serif" w:hAnsi="Arial;sans-serif"/>
          <w:b w:val="false"/>
          <w:color w:val="002060"/>
          <w:sz w:val="22"/>
        </w:rPr>
        <w:t>Other revenues are reconfirmed – resulting in a new total revenue guidance of €145 million to €160 million</w:t>
      </w:r>
    </w:p>
    <w:p>
      <w:pPr>
        <w:pStyle w:val="TextBody"/>
        <w:bidi w:val="0"/>
        <w:spacing w:lineRule="auto" w:line="288" w:before="0" w:after="0"/>
        <w:ind w:left="0" w:right="0" w:hanging="360"/>
        <w:jc w:val="both"/>
        <w:rPr/>
      </w:pPr>
      <w:r>
        <w:rPr>
          <w:color w:val="002060"/>
        </w:rPr>
        <w:t>•</w:t>
      </w:r>
      <w:r>
        <w:rPr>
          <w:rFonts w:ascii="Arial;sans-serif" w:hAnsi="Arial;sans-serif"/>
          <w:b w:val="false"/>
          <w:color w:val="002060"/>
          <w:sz w:val="22"/>
        </w:rPr>
        <w:t>As part of the Company’s continued focus on diligent cash management, and following the recent consolidation in France</w:t>
      </w:r>
      <w:r>
        <w:rPr>
          <w:rFonts w:ascii="Arial;sans-serif" w:hAnsi="Arial;sans-serif"/>
          <w:b w:val="false"/>
          <w:color w:val="002060"/>
          <w:sz w:val="14"/>
        </w:rPr>
        <w:t>2</w:t>
      </w:r>
      <w:r>
        <w:rPr>
          <w:rFonts w:ascii="Arial;sans-serif" w:hAnsi="Arial;sans-serif"/>
          <w:b w:val="false"/>
          <w:color w:val="002060"/>
          <w:sz w:val="22"/>
        </w:rPr>
        <w:t>, Valneva has initiated a further restructuring plan designed to streamline its global business operations:</w:t>
      </w:r>
    </w:p>
    <w:p>
      <w:pPr>
        <w:pStyle w:val="TextBody"/>
        <w:bidi w:val="0"/>
        <w:spacing w:lineRule="auto" w:line="288" w:before="0" w:after="0"/>
        <w:ind w:left="0" w:right="0" w:hanging="360"/>
        <w:jc w:val="both"/>
        <w:rPr/>
      </w:pPr>
      <w:r>
        <w:rPr>
          <w:rFonts w:ascii="Courier New;serif" w:hAnsi="Courier New;serif"/>
          <w:b w:val="false"/>
          <w:color w:val="002060"/>
          <w:sz w:val="22"/>
        </w:rPr>
        <w:t>o</w:t>
      </w:r>
      <w:r>
        <w:rPr>
          <w:rFonts w:ascii="Arial;sans-serif" w:hAnsi="Arial;sans-serif"/>
          <w:b w:val="false"/>
          <w:color w:val="002060"/>
          <w:sz w:val="22"/>
        </w:rPr>
        <w:t>Focus resources on its base business and key strategic projects, including a reduction of its global workforce by 10-15%</w:t>
      </w:r>
    </w:p>
    <w:p>
      <w:pPr>
        <w:pStyle w:val="TextBody"/>
        <w:bidi w:val="0"/>
        <w:spacing w:lineRule="auto" w:line="288" w:before="0" w:after="0"/>
        <w:ind w:left="0" w:right="0" w:hanging="360"/>
        <w:jc w:val="both"/>
        <w:rPr/>
      </w:pPr>
      <w:r>
        <w:rPr>
          <w:rFonts w:ascii="Courier New;serif" w:hAnsi="Courier New;serif"/>
          <w:b w:val="false"/>
          <w:color w:val="002060"/>
          <w:sz w:val="22"/>
        </w:rPr>
        <w:t>o</w:t>
      </w:r>
      <w:r>
        <w:rPr>
          <w:rFonts w:ascii="Arial;sans-serif" w:hAnsi="Arial;sans-serif"/>
          <w:b w:val="false"/>
          <w:color w:val="002060"/>
          <w:sz w:val="22"/>
        </w:rPr>
        <w:t>Together these initiatives are expected to result in significant ~25-35% reduction in 2026 operating expenses compared to 2025</w:t>
      </w:r>
    </w:p>
    <w:p>
      <w:pPr>
        <w:pStyle w:val="TextBody"/>
        <w:bidi w:val="0"/>
        <w:spacing w:lineRule="auto" w:line="319" w:before="0" w:after="0"/>
        <w:ind w:left="0" w:right="0" w:hanging="360"/>
        <w:jc w:val="both"/>
        <w:rPr/>
      </w:pPr>
      <w:r>
        <w:rPr>
          <w:color w:val="1E3C73"/>
        </w:rPr>
        <w:t>•</w:t>
      </w:r>
      <w:r>
        <w:rPr>
          <w:rFonts w:ascii="Arial;sans-serif" w:hAnsi="Arial;sans-serif"/>
          <w:b w:val="false"/>
          <w:color w:val="002060"/>
          <w:sz w:val="22"/>
        </w:rPr>
        <w:t>Product gross margins are expected to normalize following one-off effects in the first quarter of 2026</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color w:val="1E3C73"/>
          <w:sz w:val="22"/>
        </w:rPr>
        <w:t>Peter Bühler, Valneva’s Chief Financial Officer,</w:t>
      </w:r>
      <w:r>
        <w:rPr>
          <w:color w:val="1E3C73"/>
        </w:rPr>
        <w:t xml:space="preserve"> </w:t>
      </w:r>
      <w:r>
        <w:rPr>
          <w:rFonts w:ascii="Arial;sans-serif" w:hAnsi="Arial;sans-serif"/>
          <w:b w:val="false"/>
          <w:color w:val="1E3C73"/>
          <w:sz w:val="22"/>
        </w:rPr>
        <w:t>commented, “Our first-quarter sales reflect the sharp decline in third party products and our planned focus on proprietary products. We also see the first indications of the geopolitical situation adversely affecting travel. We continued to reduce our operating cash burn meaningfully and, combined with further cost saving measures and our strengthened balance sheet following the successful financing completed in April, we expect a solid cash position through the potential regulatory approvals of our Lyme disease vaccine.”</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A0CD"/>
          <w:sz w:val="22"/>
        </w:rPr>
      </w:pPr>
      <w:r>
        <w:rPr>
          <w:rFonts w:ascii="Arial;sans-serif" w:hAnsi="Arial;sans-serif"/>
          <w:b/>
          <w:color w:val="00A0CD"/>
          <w:sz w:val="22"/>
        </w:rPr>
        <w:t>Financial Information</w:t>
      </w:r>
    </w:p>
    <w:p>
      <w:pPr>
        <w:pStyle w:val="TextBody"/>
        <w:bidi w:val="0"/>
        <w:spacing w:lineRule="auto" w:line="300" w:before="0" w:after="0"/>
        <w:jc w:val="both"/>
        <w:rPr>
          <w:rFonts w:ascii="Arial;sans-serif" w:hAnsi="Arial;sans-serif"/>
          <w:b w:val="false"/>
          <w:color w:val="00A0CD"/>
          <w:sz w:val="20"/>
        </w:rPr>
      </w:pPr>
      <w:r>
        <w:rPr>
          <w:rFonts w:ascii="Arial;sans-serif" w:hAnsi="Arial;sans-serif"/>
          <w:b w:val="false"/>
          <w:color w:val="00A0CD"/>
          <w:sz w:val="20"/>
        </w:rPr>
        <w:t>(Unaudited results, consolidated per IFRS)</w:t>
      </w:r>
    </w:p>
    <w:p>
      <w:pPr>
        <w:pStyle w:val="TextBody"/>
        <w:bidi w:val="0"/>
        <w:spacing w:before="0" w:after="0"/>
        <w:ind w:left="0" w:right="0" w:hanging="360"/>
        <w:jc w:val="both"/>
        <w:rPr/>
      </w:pPr>
      <w:r>
        <w:rPr/>
      </w:r>
    </w:p>
    <w:tbl>
      <w:tblPr>
        <w:tblW w:w="5147" w:type="dxa"/>
        <w:jc w:val="left"/>
        <w:tblInd w:w="0" w:type="dxa"/>
        <w:tblLayout w:type="fixed"/>
        <w:tblCellMar>
          <w:top w:w="28" w:type="dxa"/>
          <w:left w:w="28" w:type="dxa"/>
          <w:bottom w:w="28" w:type="dxa"/>
          <w:right w:w="28" w:type="dxa"/>
        </w:tblCellMar>
      </w:tblPr>
      <w:tblGrid>
        <w:gridCol w:w="603"/>
        <w:gridCol w:w="528"/>
        <w:gridCol w:w="533"/>
        <w:gridCol w:w="724"/>
        <w:gridCol w:w="461"/>
        <w:gridCol w:w="461"/>
        <w:gridCol w:w="714"/>
        <w:gridCol w:w="461"/>
        <w:gridCol w:w="662"/>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both"/>
              <w:rPr>
                <w:color w:val="002060"/>
              </w:rPr>
            </w:pPr>
            <w:r>
              <w:rPr>
                <w:color w:val="002060"/>
              </w:rPr>
              <w:t xml:space="preserve">€ </w:t>
            </w:r>
            <w:r>
              <w:rPr>
                <w:rFonts w:ascii="Arial;sans-serif" w:hAnsi="Arial;sans-serif"/>
                <w:b/>
                <w:color w:val="002060"/>
                <w:sz w:val="20"/>
              </w:rPr>
              <w:t>in million</w:t>
            </w:r>
          </w:p>
        </w:tc>
        <w:tc>
          <w:tcPr>
            <w:tcW w:w="3483" w:type="dxa"/>
            <w:gridSpan w:val="6"/>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rFonts w:ascii="Arial;sans-serif" w:hAnsi="Arial;sans-serif"/>
                <w:b/>
                <w:color w:val="002060"/>
                <w:sz w:val="20"/>
              </w:rPr>
            </w:pPr>
            <w:r>
              <w:rPr>
                <w:rFonts w:ascii="Arial;sans-serif" w:hAnsi="Arial;sans-serif"/>
                <w:b/>
                <w:color w:val="002060"/>
                <w:sz w:val="20"/>
              </w:rPr>
              <w:t>Three months ended March 31</w:t>
            </w:r>
          </w:p>
        </w:tc>
      </w:tr>
      <w:tr>
        <w:trPr/>
        <w:tc>
          <w:tcPr>
            <w:tcW w:w="1664" w:type="dxa"/>
            <w:gridSpan w:val="3"/>
            <w:tcBorders>
              <w:top w:val="single" w:sz="4" w:space="0" w:color="00B0F0"/>
              <w:left w:val="single" w:sz="4" w:space="0" w:color="00B0F0"/>
            </w:tcBorders>
            <w:tcMar>
              <w:bottom w:w="0" w:type="dxa"/>
              <w:right w:w="0" w:type="dxa"/>
            </w:tcMar>
            <w:vAlign w:val="center"/>
          </w:tcPr>
          <w:p>
            <w:pPr>
              <w:pStyle w:val="TableContents"/>
              <w:bidi w:val="0"/>
              <w:spacing w:before="48" w:after="48"/>
              <w:jc w:val="both"/>
              <w:rPr/>
            </w:pPr>
            <w:r>
              <w:rPr/>
            </w:r>
          </w:p>
        </w:tc>
        <w:tc>
          <w:tcPr>
            <w:tcW w:w="1646"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center"/>
              <w:rPr>
                <w:rFonts w:ascii="Arial;sans-serif" w:hAnsi="Arial;sans-serif"/>
                <w:b/>
                <w:color w:val="002060"/>
                <w:sz w:val="20"/>
              </w:rPr>
            </w:pPr>
            <w:r>
              <w:rPr>
                <w:rFonts w:ascii="Arial;sans-serif" w:hAnsi="Arial;sans-serif"/>
                <w:b/>
                <w:color w:val="002060"/>
                <w:sz w:val="20"/>
              </w:rPr>
              <w:t>2026</w:t>
            </w:r>
          </w:p>
        </w:tc>
        <w:tc>
          <w:tcPr>
            <w:tcW w:w="1837"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rFonts w:ascii="Arial;sans-serif" w:hAnsi="Arial;sans-serif"/>
                <w:b/>
                <w:color w:val="002060"/>
                <w:sz w:val="20"/>
              </w:rPr>
            </w:pPr>
            <w:r>
              <w:rPr>
                <w:rFonts w:ascii="Arial;sans-serif" w:hAnsi="Arial;sans-serif"/>
                <w:b/>
                <w:color w:val="002060"/>
                <w:sz w:val="20"/>
              </w:rPr>
              <w:t>2025</w:t>
            </w:r>
          </w:p>
        </w:tc>
      </w:tr>
      <w:tr>
        <w:trPr/>
        <w:tc>
          <w:tcPr>
            <w:tcW w:w="1664"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ind w:left="0" w:right="0" w:hanging="180"/>
              <w:jc w:val="both"/>
              <w:rPr>
                <w:rFonts w:ascii="Arial;sans-serif" w:hAnsi="Arial;sans-serif"/>
                <w:b w:val="false"/>
                <w:color w:val="002060"/>
                <w:sz w:val="20"/>
              </w:rPr>
            </w:pPr>
            <w:r>
              <w:rPr>
                <w:rFonts w:ascii="Arial;sans-serif" w:hAnsi="Arial;sans-serif"/>
                <w:b w:val="false"/>
                <w:color w:val="002060"/>
                <w:sz w:val="20"/>
              </w:rPr>
              <w:t>Total Revenues</w:t>
            </w:r>
          </w:p>
        </w:tc>
        <w:tc>
          <w:tcPr>
            <w:tcW w:w="1646"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center"/>
              <w:rPr>
                <w:rFonts w:ascii="Arial;sans-serif" w:hAnsi="Arial;sans-serif"/>
                <w:b w:val="false"/>
                <w:color w:val="002060"/>
                <w:sz w:val="20"/>
              </w:rPr>
            </w:pPr>
            <w:r>
              <w:rPr>
                <w:rFonts w:ascii="Arial;sans-serif" w:hAnsi="Arial;sans-serif"/>
                <w:b w:val="false"/>
                <w:color w:val="002060"/>
                <w:sz w:val="20"/>
              </w:rPr>
              <w:t>30.9</w:t>
            </w:r>
          </w:p>
        </w:tc>
        <w:tc>
          <w:tcPr>
            <w:tcW w:w="1837"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rFonts w:ascii="Arial;sans-serif" w:hAnsi="Arial;sans-serif"/>
                <w:b w:val="false"/>
                <w:color w:val="002060"/>
                <w:sz w:val="20"/>
              </w:rPr>
            </w:pPr>
            <w:r>
              <w:rPr>
                <w:rFonts w:ascii="Arial;sans-serif" w:hAnsi="Arial;sans-serif"/>
                <w:b w:val="false"/>
                <w:color w:val="002060"/>
                <w:sz w:val="20"/>
              </w:rPr>
              <w:t>49.2</w:t>
            </w:r>
          </w:p>
        </w:tc>
      </w:tr>
      <w:tr>
        <w:trPr/>
        <w:tc>
          <w:tcPr>
            <w:tcW w:w="1664"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both"/>
              <w:rPr>
                <w:rFonts w:ascii="Arial;sans-serif" w:hAnsi="Arial;sans-serif"/>
                <w:b w:val="false"/>
                <w:color w:val="002060"/>
                <w:sz w:val="20"/>
              </w:rPr>
            </w:pPr>
            <w:r>
              <w:rPr>
                <w:rFonts w:ascii="Arial;sans-serif" w:hAnsi="Arial;sans-serif"/>
                <w:b w:val="false"/>
                <w:color w:val="002060"/>
                <w:sz w:val="20"/>
              </w:rPr>
              <w:t>Product Sales</w:t>
            </w:r>
          </w:p>
        </w:tc>
        <w:tc>
          <w:tcPr>
            <w:tcW w:w="1646"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center"/>
              <w:rPr>
                <w:rFonts w:ascii="Arial;sans-serif" w:hAnsi="Arial;sans-serif"/>
                <w:b w:val="false"/>
                <w:color w:val="002060"/>
                <w:sz w:val="20"/>
              </w:rPr>
            </w:pPr>
            <w:r>
              <w:rPr>
                <w:rFonts w:ascii="Arial;sans-serif" w:hAnsi="Arial;sans-serif"/>
                <w:b w:val="false"/>
                <w:color w:val="002060"/>
                <w:sz w:val="20"/>
              </w:rPr>
              <w:t>30.5</w:t>
            </w:r>
          </w:p>
        </w:tc>
        <w:tc>
          <w:tcPr>
            <w:tcW w:w="1837"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rFonts w:ascii="Arial;sans-serif" w:hAnsi="Arial;sans-serif"/>
                <w:b w:val="false"/>
                <w:color w:val="002060"/>
                <w:sz w:val="20"/>
              </w:rPr>
            </w:pPr>
            <w:r>
              <w:rPr>
                <w:rFonts w:ascii="Arial;sans-serif" w:hAnsi="Arial;sans-serif"/>
                <w:b w:val="false"/>
                <w:color w:val="002060"/>
                <w:sz w:val="20"/>
              </w:rPr>
              <w:t>48.6</w:t>
            </w:r>
          </w:p>
        </w:tc>
      </w:tr>
      <w:tr>
        <w:trPr/>
        <w:tc>
          <w:tcPr>
            <w:tcW w:w="1664"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ind w:left="0" w:right="0" w:hanging="180"/>
              <w:jc w:val="both"/>
              <w:rPr>
                <w:rFonts w:ascii="Arial;sans-serif" w:hAnsi="Arial;sans-serif"/>
                <w:b w:val="false"/>
                <w:color w:val="002060"/>
                <w:sz w:val="20"/>
              </w:rPr>
            </w:pPr>
            <w:r>
              <w:rPr>
                <w:rFonts w:ascii="Arial;sans-serif" w:hAnsi="Arial;sans-serif"/>
                <w:b w:val="false"/>
                <w:color w:val="002060"/>
                <w:sz w:val="20"/>
              </w:rPr>
              <w:t>Net loss</w:t>
            </w:r>
          </w:p>
        </w:tc>
        <w:tc>
          <w:tcPr>
            <w:tcW w:w="1646"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center"/>
              <w:rPr>
                <w:rFonts w:ascii="Arial;sans-serif" w:hAnsi="Arial;sans-serif"/>
                <w:b w:val="false"/>
                <w:color w:val="002060"/>
                <w:sz w:val="20"/>
              </w:rPr>
            </w:pPr>
            <w:r>
              <w:rPr>
                <w:rFonts w:ascii="Arial;sans-serif" w:hAnsi="Arial;sans-serif"/>
                <w:b w:val="false"/>
                <w:color w:val="002060"/>
                <w:sz w:val="20"/>
              </w:rPr>
              <w:t>(32.1)</w:t>
            </w:r>
          </w:p>
        </w:tc>
        <w:tc>
          <w:tcPr>
            <w:tcW w:w="1837"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rFonts w:ascii="Arial;sans-serif" w:hAnsi="Arial;sans-serif"/>
                <w:b w:val="false"/>
                <w:color w:val="002060"/>
                <w:sz w:val="20"/>
              </w:rPr>
            </w:pPr>
            <w:r>
              <w:rPr>
                <w:rFonts w:ascii="Arial;sans-serif" w:hAnsi="Arial;sans-serif"/>
                <w:b w:val="false"/>
                <w:color w:val="002060"/>
                <w:sz w:val="20"/>
              </w:rPr>
              <w:t>(9.2)</w:t>
            </w:r>
          </w:p>
        </w:tc>
      </w:tr>
      <w:tr>
        <w:trPr/>
        <w:tc>
          <w:tcPr>
            <w:tcW w:w="1664"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ind w:left="0" w:right="0" w:hanging="180"/>
              <w:jc w:val="both"/>
              <w:rPr>
                <w:rFonts w:ascii="Arial;sans-serif" w:hAnsi="Arial;sans-serif"/>
                <w:b w:val="false"/>
                <w:color w:val="002060"/>
                <w:sz w:val="20"/>
              </w:rPr>
            </w:pPr>
            <w:r>
              <w:rPr>
                <w:rFonts w:ascii="Arial;sans-serif" w:hAnsi="Arial;sans-serif"/>
                <w:b w:val="false"/>
                <w:color w:val="002060"/>
                <w:sz w:val="20"/>
              </w:rPr>
              <w:t>Adjusted EBITDA</w:t>
            </w:r>
          </w:p>
        </w:tc>
        <w:tc>
          <w:tcPr>
            <w:tcW w:w="1646"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center"/>
              <w:rPr>
                <w:rFonts w:ascii="Arial;sans-serif" w:hAnsi="Arial;sans-serif"/>
                <w:b w:val="false"/>
                <w:color w:val="002060"/>
                <w:sz w:val="20"/>
              </w:rPr>
            </w:pPr>
            <w:r>
              <w:rPr>
                <w:rFonts w:ascii="Arial;sans-serif" w:hAnsi="Arial;sans-serif"/>
                <w:b w:val="false"/>
                <w:color w:val="002060"/>
                <w:sz w:val="20"/>
              </w:rPr>
              <w:t>(18.2)</w:t>
            </w:r>
          </w:p>
        </w:tc>
        <w:tc>
          <w:tcPr>
            <w:tcW w:w="1837"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rFonts w:ascii="Arial;sans-serif" w:hAnsi="Arial;sans-serif"/>
                <w:b w:val="false"/>
                <w:color w:val="002060"/>
                <w:sz w:val="20"/>
              </w:rPr>
            </w:pPr>
            <w:r>
              <w:rPr>
                <w:rFonts w:ascii="Arial;sans-serif" w:hAnsi="Arial;sans-serif"/>
                <w:b w:val="false"/>
                <w:color w:val="002060"/>
                <w:sz w:val="20"/>
              </w:rPr>
              <w:t>(0.6)</w:t>
            </w:r>
          </w:p>
        </w:tc>
      </w:tr>
      <w:tr>
        <w:trPr/>
        <w:tc>
          <w:tcPr>
            <w:tcW w:w="1664" w:type="dxa"/>
            <w:gridSpan w:val="3"/>
            <w:tcBorders>
              <w:top w:val="single" w:sz="4" w:space="0" w:color="00B0F0"/>
              <w:left w:val="single" w:sz="4" w:space="0" w:color="00B0F0"/>
              <w:bottom w:val="single" w:sz="4" w:space="0" w:color="00B0F0"/>
            </w:tcBorders>
            <w:tcMar>
              <w:top w:w="30" w:type="dxa"/>
              <w:bottom w:w="30" w:type="dxa"/>
              <w:right w:w="0" w:type="dxa"/>
            </w:tcMar>
            <w:vAlign w:val="center"/>
          </w:tcPr>
          <w:p>
            <w:pPr>
              <w:pStyle w:val="TableContents"/>
              <w:bidi w:val="0"/>
              <w:spacing w:lineRule="atLeast" w:line="200" w:before="48" w:after="48"/>
              <w:jc w:val="left"/>
              <w:rPr>
                <w:rFonts w:ascii="Arial;sans-serif" w:hAnsi="Arial;sans-serif"/>
                <w:b w:val="false"/>
                <w:color w:val="002060"/>
                <w:sz w:val="20"/>
              </w:rPr>
            </w:pPr>
            <w:r>
              <w:rPr>
                <w:rFonts w:ascii="Arial;sans-serif" w:hAnsi="Arial;sans-serif"/>
                <w:b w:val="false"/>
                <w:color w:val="002060"/>
                <w:sz w:val="20"/>
              </w:rPr>
              <w:t>Cash</w:t>
            </w:r>
          </w:p>
        </w:tc>
        <w:tc>
          <w:tcPr>
            <w:tcW w:w="1646" w:type="dxa"/>
            <w:gridSpan w:val="3"/>
            <w:tcBorders>
              <w:top w:val="single" w:sz="4" w:space="0" w:color="00B0F0"/>
              <w:left w:val="single" w:sz="4" w:space="0" w:color="00B0F0"/>
              <w:bottom w:val="single" w:sz="4" w:space="0" w:color="00B0F0"/>
            </w:tcBorders>
            <w:tcMar>
              <w:top w:w="30" w:type="dxa"/>
              <w:bottom w:w="30" w:type="dxa"/>
              <w:right w:w="0" w:type="dxa"/>
            </w:tcMar>
            <w:vAlign w:val="center"/>
          </w:tcPr>
          <w:p>
            <w:pPr>
              <w:pStyle w:val="TableContents"/>
              <w:bidi w:val="0"/>
              <w:spacing w:lineRule="atLeast" w:line="200" w:before="48" w:after="48"/>
              <w:jc w:val="left"/>
              <w:rPr>
                <w:color w:val="002060"/>
              </w:rPr>
            </w:pPr>
            <w:r>
              <w:rPr>
                <w:color w:val="002060"/>
              </w:rPr>
              <w:t>              </w:t>
            </w:r>
            <w:r>
              <w:rPr>
                <w:rFonts w:ascii="Arial;sans-serif" w:hAnsi="Arial;sans-serif"/>
                <w:b w:val="false"/>
                <w:color w:val="002060"/>
                <w:sz w:val="20"/>
              </w:rPr>
              <w:t>105.3</w:t>
            </w:r>
          </w:p>
        </w:tc>
        <w:tc>
          <w:tcPr>
            <w:tcW w:w="1837" w:type="dxa"/>
            <w:gridSpan w:val="3"/>
            <w:tcBorders>
              <w:top w:val="single" w:sz="4" w:space="0" w:color="00B0F0"/>
              <w:left w:val="single" w:sz="4" w:space="0" w:color="00B0F0"/>
              <w:bottom w:val="single" w:sz="4" w:space="0" w:color="00B0F0"/>
              <w:right w:val="single" w:sz="4" w:space="0" w:color="00B0F0"/>
            </w:tcBorders>
            <w:tcMar>
              <w:top w:w="30" w:type="dxa"/>
              <w:bottom w:w="30" w:type="dxa"/>
            </w:tcMar>
            <w:vAlign w:val="center"/>
          </w:tcPr>
          <w:p>
            <w:pPr>
              <w:pStyle w:val="TableContents"/>
              <w:bidi w:val="0"/>
              <w:spacing w:lineRule="atLeast" w:line="200" w:before="48" w:after="48"/>
              <w:jc w:val="left"/>
              <w:rPr>
                <w:color w:val="002060"/>
              </w:rPr>
            </w:pPr>
            <w:r>
              <w:rPr>
                <w:color w:val="002060"/>
              </w:rPr>
              <w:t>                 </w:t>
            </w:r>
            <w:r>
              <w:rPr>
                <w:rFonts w:ascii="Arial;sans-serif" w:hAnsi="Arial;sans-serif"/>
                <w:b w:val="false"/>
                <w:color w:val="002060"/>
                <w:sz w:val="20"/>
              </w:rPr>
              <w:t>153.0</w:t>
            </w:r>
          </w:p>
        </w:tc>
      </w:tr>
    </w:tbl>
    <w:p>
      <w:pPr>
        <w:pStyle w:val="TextBody"/>
        <w:bidi w:val="0"/>
        <w:spacing w:before="0" w:after="160"/>
        <w:jc w:val="both"/>
        <w:rPr/>
      </w:pPr>
      <w:r>
        <w:rPr/>
      </w:r>
    </w:p>
    <w:p>
      <w:pPr>
        <w:pStyle w:val="TextBody"/>
        <w:bidi w:val="0"/>
        <w:spacing w:lineRule="auto" w:line="319" w:before="0" w:after="160"/>
        <w:jc w:val="left"/>
        <w:rPr>
          <w:rFonts w:ascii="Arial;sans-serif" w:hAnsi="Arial;sans-serif"/>
          <w:b/>
          <w:color w:val="00A0CD"/>
          <w:sz w:val="22"/>
        </w:rPr>
      </w:pPr>
      <w:r>
        <w:rPr>
          <w:rFonts w:ascii="Arial;sans-serif" w:hAnsi="Arial;sans-serif"/>
          <w:b/>
          <w:color w:val="00A0CD"/>
          <w:sz w:val="22"/>
        </w:rPr>
        <w:t>Commercial Portfolio</w:t>
      </w:r>
    </w:p>
    <w:p>
      <w:pPr>
        <w:pStyle w:val="TextBody"/>
        <w:bidi w:val="0"/>
        <w:spacing w:lineRule="auto" w:line="319" w:before="0" w:after="0"/>
        <w:jc w:val="both"/>
        <w:rPr/>
      </w:pPr>
      <w:r>
        <w:rPr>
          <w:rFonts w:ascii="Arial;sans-serif" w:hAnsi="Arial;sans-serif"/>
          <w:b w:val="false"/>
          <w:color w:val="002060"/>
          <w:sz w:val="22"/>
        </w:rPr>
        <w:t>Valneva’s commercial portfolio comprises three vaccines: IXIARO</w:t>
      </w:r>
      <w:r>
        <w:rPr>
          <w:rFonts w:ascii="Arial;sans-serif" w:hAnsi="Arial;sans-serif"/>
          <w:b w:val="false"/>
          <w:color w:val="002060"/>
          <w:sz w:val="14"/>
        </w:rPr>
        <w:t>®</w:t>
      </w:r>
      <w:r>
        <w:rPr>
          <w:rFonts w:ascii="Arial;sans-serif" w:hAnsi="Arial;sans-serif"/>
          <w:b w:val="false"/>
          <w:color w:val="002060"/>
          <w:sz w:val="22"/>
        </w:rPr>
        <w:t>/JESPECT</w:t>
      </w:r>
      <w:r>
        <w:rPr>
          <w:rFonts w:ascii="Arial;sans-serif" w:hAnsi="Arial;sans-serif"/>
          <w:b w:val="false"/>
          <w:color w:val="002060"/>
          <w:sz w:val="14"/>
        </w:rPr>
        <w:t>®</w:t>
      </w:r>
      <w:r>
        <w:rPr>
          <w:rFonts w:ascii="Arial;sans-serif" w:hAnsi="Arial;sans-serif"/>
          <w:b w:val="false"/>
          <w:color w:val="002060"/>
          <w:sz w:val="22"/>
        </w:rPr>
        <w:t>, DUKORAL</w:t>
      </w:r>
      <w:r>
        <w:rPr>
          <w:rFonts w:ascii="Arial;sans-serif" w:hAnsi="Arial;sans-serif"/>
          <w:b w:val="false"/>
          <w:color w:val="002060"/>
          <w:sz w:val="14"/>
        </w:rPr>
        <w:t>®</w:t>
      </w:r>
      <w:r>
        <w:rPr>
          <w:color w:val="002060"/>
        </w:rPr>
        <w:t xml:space="preserve"> </w:t>
      </w:r>
      <w:r>
        <w:rPr>
          <w:rFonts w:ascii="Arial;sans-serif" w:hAnsi="Arial;sans-serif"/>
          <w:b w:val="false"/>
          <w:color w:val="002060"/>
          <w:sz w:val="22"/>
        </w:rPr>
        <w:t>and IXCHIQ</w:t>
      </w:r>
      <w:r>
        <w:rPr>
          <w:rFonts w:ascii="Arial;sans-serif" w:hAnsi="Arial;sans-serif"/>
          <w:b w:val="false"/>
          <w:color w:val="002060"/>
          <w:sz w:val="14"/>
        </w:rPr>
        <w:t>®</w:t>
      </w:r>
      <w:r>
        <w:rPr>
          <w:rFonts w:ascii="Arial;sans-serif" w:hAnsi="Arial;sans-serif"/>
          <w:b w:val="false"/>
          <w:color w:val="002060"/>
          <w:sz w:val="22"/>
        </w:rPr>
        <w:t>. The Company’s main third-party product distribution contract concluded in 2025 and, as previously communicated, this activity is now intentionally winding down. As a result, third-party product sales were reduced by 97.6% in the first quarter of 2026 to €0.1 million. This strategic initiative is expected to result in improved overall product gross margins.</w:t>
      </w:r>
    </w:p>
    <w:p>
      <w:pPr>
        <w:pStyle w:val="TextBody"/>
        <w:bidi w:val="0"/>
        <w:spacing w:before="0" w:after="120"/>
        <w:jc w:val="left"/>
        <w:rPr/>
      </w:pPr>
      <w:r>
        <w:rPr/>
      </w:r>
    </w:p>
    <w:p>
      <w:pPr>
        <w:pStyle w:val="TextBody"/>
        <w:bidi w:val="0"/>
        <w:spacing w:lineRule="auto" w:line="288"/>
        <w:jc w:val="left"/>
        <w:rPr/>
      </w:pPr>
      <w:r>
        <w:rPr>
          <w:rFonts w:ascii="Arial;sans-serif" w:hAnsi="Arial;sans-serif"/>
          <w:b w:val="false"/>
          <w:i/>
          <w:color w:val="000000"/>
          <w:sz w:val="10"/>
        </w:rPr>
        <w:t>2</w:t>
      </w:r>
      <w:r>
        <w:rPr>
          <w:color w:val="000000"/>
        </w:rPr>
        <w:t xml:space="preserve"> </w:t>
      </w:r>
      <w:r>
        <w:rPr>
          <w:rFonts w:ascii="Arial;sans-serif" w:hAnsi="Arial;sans-serif"/>
          <w:b w:val="false"/>
          <w:i/>
          <w:color w:val="000000"/>
          <w:sz w:val="16"/>
        </w:rPr>
        <w:t>Valneva to Further Consolidate its Operations in France - Valneva</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67665"/>
                <wp:effectExtent l="0" t="0" r="0" b="0"/>
                <wp:wrapNone/>
                <wp:docPr id="4" name="Frame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120"/>
        <w:jc w:val="left"/>
        <w:rPr/>
      </w:pPr>
      <w:r>
        <w:rPr>
          <w:rFonts w:ascii="Arial;sans-serif" w:hAnsi="Arial;sans-serif"/>
          <w:b/>
          <w:color w:val="1E4179"/>
          <w:sz w:val="22"/>
        </w:rPr>
        <w:t>JAPANESE ENCEPHALITIS VACCINE IXIARO</w:t>
      </w:r>
      <w:r>
        <w:rPr>
          <w:rFonts w:ascii="Arial;sans-serif" w:hAnsi="Arial;sans-serif"/>
          <w:b/>
          <w:color w:val="1E4179"/>
          <w:sz w:val="14"/>
        </w:rPr>
        <w:t>®</w:t>
      </w:r>
      <w:r>
        <w:rPr>
          <w:rFonts w:ascii="Arial;sans-serif" w:hAnsi="Arial;sans-serif"/>
          <w:b/>
          <w:color w:val="1E4179"/>
          <w:sz w:val="22"/>
        </w:rPr>
        <w:t>/JESPECT</w:t>
      </w:r>
      <w:r>
        <w:rPr>
          <w:rFonts w:ascii="Arial;sans-serif" w:hAnsi="Arial;sans-serif"/>
          <w:b/>
          <w:color w:val="1E4179"/>
          <w:sz w:val="14"/>
        </w:rPr>
        <w:t>®</w:t>
      </w:r>
    </w:p>
    <w:p>
      <w:pPr>
        <w:pStyle w:val="TextBody"/>
        <w:bidi w:val="0"/>
        <w:spacing w:lineRule="auto" w:line="319" w:before="0" w:after="0"/>
        <w:jc w:val="both"/>
        <w:rPr/>
      </w:pPr>
      <w:r>
        <w:rPr>
          <w:rFonts w:ascii="Arial;sans-serif" w:hAnsi="Arial;sans-serif"/>
          <w:b w:val="false"/>
          <w:color w:val="1E4179"/>
          <w:sz w:val="22"/>
        </w:rPr>
        <w:t>In the first quarter of 2026, IXIARO</w:t>
      </w:r>
      <w:r>
        <w:rPr>
          <w:rFonts w:ascii="Arial;sans-serif" w:hAnsi="Arial;sans-serif"/>
          <w:b w:val="false"/>
          <w:color w:val="1E4179"/>
          <w:sz w:val="14"/>
        </w:rPr>
        <w:t>®</w:t>
      </w:r>
      <w:r>
        <w:rPr>
          <w:rFonts w:ascii="Arial;sans-serif" w:hAnsi="Arial;sans-serif"/>
          <w:b w:val="false"/>
          <w:color w:val="1E4179"/>
          <w:sz w:val="22"/>
        </w:rPr>
        <w:t>/JESPECT</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sales were €20.2 million, compared with €27.5 million in the first quarter of 2025. The year-over-year decline primarily reflects a difference in the phasing of deliveries to the U.S. Department of Defense (DoD). Deliveries have continued under the current contract signed in January 2025, and Valneva expects to deliver further IXIARO</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doses to the DoD in 2026.</w:t>
      </w:r>
    </w:p>
    <w:p>
      <w:pPr>
        <w:pStyle w:val="TextBody"/>
        <w:bidi w:val="0"/>
        <w:spacing w:before="0" w:after="0"/>
        <w:jc w:val="both"/>
        <w:rPr/>
      </w:pPr>
      <w:r>
        <w:rPr/>
      </w:r>
    </w:p>
    <w:p>
      <w:pPr>
        <w:pStyle w:val="TextBody"/>
        <w:bidi w:val="0"/>
        <w:spacing w:lineRule="auto" w:line="319" w:before="0" w:after="120"/>
        <w:jc w:val="left"/>
        <w:rPr/>
      </w:pPr>
      <w:r>
        <w:rPr>
          <w:rFonts w:ascii="Arial;sans-serif" w:hAnsi="Arial;sans-serif"/>
          <w:b/>
          <w:color w:val="1E4179"/>
          <w:sz w:val="22"/>
        </w:rPr>
        <w:t>CHOLERA / ETEC</w:t>
      </w:r>
      <w:r>
        <w:rPr>
          <w:rFonts w:ascii="Arial;sans-serif" w:hAnsi="Arial;sans-serif"/>
          <w:b/>
          <w:color w:val="1E4179"/>
          <w:sz w:val="14"/>
        </w:rPr>
        <w:t>3</w:t>
      </w:r>
      <w:r>
        <w:rPr>
          <w:rFonts w:ascii="Arial;sans-serif" w:hAnsi="Arial;sans-serif"/>
          <w:b/>
          <w:color w:val="1E4179"/>
          <w:sz w:val="22"/>
        </w:rPr>
        <w:t>-DIARRHEA VACCINE DUKORAL</w:t>
      </w:r>
      <w:r>
        <w:rPr>
          <w:rFonts w:ascii="Arial;sans-serif" w:hAnsi="Arial;sans-serif"/>
          <w:b/>
          <w:color w:val="1E4179"/>
          <w:sz w:val="14"/>
        </w:rPr>
        <w:t>®</w:t>
      </w:r>
    </w:p>
    <w:p>
      <w:pPr>
        <w:pStyle w:val="TextBody"/>
        <w:bidi w:val="0"/>
        <w:spacing w:lineRule="auto" w:line="319" w:before="0" w:after="0"/>
        <w:jc w:val="both"/>
        <w:rPr/>
      </w:pPr>
      <w:r>
        <w:rPr>
          <w:rFonts w:ascii="Arial;sans-serif" w:hAnsi="Arial;sans-serif"/>
          <w:b w:val="false"/>
          <w:color w:val="1E4179"/>
          <w:sz w:val="22"/>
        </w:rPr>
        <w:t>In the first quarter of 2026, DUKORAL</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 xml:space="preserve">sales reached €8.6 million versus €12.3 million in the first quarter of 2025, which included one-off sales related to the supply of doses to Mayotte following a cholera outbreak.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1E4179"/>
          <w:sz w:val="22"/>
        </w:rPr>
      </w:pPr>
      <w:r>
        <w:rPr>
          <w:rFonts w:ascii="Arial;sans-serif" w:hAnsi="Arial;sans-serif"/>
          <w:b w:val="false"/>
          <w:color w:val="1E4179"/>
          <w:sz w:val="22"/>
        </w:rPr>
        <w:t>First quarter 2026 sales were adversely impacted by the distributor transition in Germany in January 2026, as residual supply transferred from the previous distributor was sufficient to satisfy the demand for this quarter. Product deliveries are expected to resume in the second quarter of 2026.</w:t>
      </w:r>
    </w:p>
    <w:p>
      <w:pPr>
        <w:pStyle w:val="TextBody"/>
        <w:bidi w:val="0"/>
        <w:spacing w:before="0" w:after="0"/>
        <w:jc w:val="both"/>
        <w:rPr/>
      </w:pPr>
      <w:r>
        <w:rPr/>
      </w:r>
    </w:p>
    <w:p>
      <w:pPr>
        <w:pStyle w:val="TextBody"/>
        <w:bidi w:val="0"/>
        <w:spacing w:lineRule="auto" w:line="319" w:before="0" w:after="120"/>
        <w:jc w:val="left"/>
        <w:rPr/>
      </w:pPr>
      <w:r>
        <w:rPr>
          <w:rFonts w:ascii="Arial;sans-serif" w:hAnsi="Arial;sans-serif"/>
          <w:b/>
          <w:color w:val="1E4179"/>
          <w:sz w:val="22"/>
        </w:rPr>
        <w:t>CHIKUNGUNYA VACCINE IXCHIQ</w:t>
      </w:r>
      <w:r>
        <w:rPr>
          <w:rFonts w:ascii="Arial;sans-serif" w:hAnsi="Arial;sans-serif"/>
          <w:b/>
          <w:color w:val="1E4179"/>
          <w:sz w:val="14"/>
        </w:rPr>
        <w:t>®</w:t>
      </w:r>
    </w:p>
    <w:p>
      <w:pPr>
        <w:pStyle w:val="TextBody"/>
        <w:bidi w:val="0"/>
        <w:spacing w:lineRule="auto" w:line="319" w:before="0" w:after="120"/>
        <w:jc w:val="both"/>
        <w:rPr/>
      </w:pPr>
      <w:r>
        <w:rPr>
          <w:rFonts w:ascii="Arial;sans-serif" w:hAnsi="Arial;sans-serif"/>
          <w:b w:val="false"/>
          <w:color w:val="1E4179"/>
          <w:sz w:val="22"/>
        </w:rPr>
        <w:t>In the first quarter of 2026, IXCHIQ</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sales amounted to €1.6 million, compared with €3.0 million in the first quarter of 2025, which had benefited from sales in the United States and shipments of doses to the French island of La Réunion following a chikungunya outbreak.</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A0CD"/>
          <w:sz w:val="24"/>
        </w:rPr>
      </w:pPr>
      <w:r>
        <w:rPr>
          <w:rFonts w:ascii="Arial;sans-serif" w:hAnsi="Arial;sans-serif"/>
          <w:b/>
          <w:color w:val="00A0CD"/>
          <w:sz w:val="24"/>
        </w:rPr>
        <w:t>Clinical Stage Programs</w:t>
      </w:r>
    </w:p>
    <w:p>
      <w:pPr>
        <w:pStyle w:val="TextBody"/>
        <w:bidi w:val="0"/>
        <w:spacing w:before="0" w:after="0"/>
        <w:jc w:val="both"/>
        <w:rPr/>
      </w:pPr>
      <w:r>
        <w:rPr/>
      </w:r>
    </w:p>
    <w:p>
      <w:pPr>
        <w:pStyle w:val="TextBody"/>
        <w:bidi w:val="0"/>
        <w:spacing w:lineRule="auto" w:line="319" w:before="0" w:after="0"/>
        <w:jc w:val="left"/>
        <w:rPr>
          <w:rFonts w:ascii="Arial;sans-serif" w:hAnsi="Arial;sans-serif"/>
          <w:b/>
          <w:color w:val="1E4179"/>
          <w:sz w:val="22"/>
        </w:rPr>
      </w:pPr>
      <w:r>
        <w:rPr>
          <w:rFonts w:ascii="Arial;sans-serif" w:hAnsi="Arial;sans-serif"/>
          <w:b/>
          <w:color w:val="1E4179"/>
          <w:sz w:val="22"/>
        </w:rPr>
        <w:t xml:space="preserve">LYME DISEASE VACCINE CANDIDATE – LB6V (formerly VLA15) </w:t>
      </w:r>
    </w:p>
    <w:p>
      <w:pPr>
        <w:pStyle w:val="TextBody"/>
        <w:bidi w:val="0"/>
        <w:spacing w:lineRule="auto" w:line="319" w:before="0" w:after="120"/>
        <w:jc w:val="left"/>
        <w:rPr>
          <w:rFonts w:ascii="Arial;sans-serif" w:hAnsi="Arial;sans-serif"/>
          <w:b/>
          <w:color w:val="1E4179"/>
          <w:sz w:val="22"/>
        </w:rPr>
      </w:pPr>
      <w:r>
        <w:rPr>
          <w:rFonts w:ascii="Arial;sans-serif" w:hAnsi="Arial;sans-serif"/>
          <w:b/>
          <w:color w:val="1E4179"/>
          <w:sz w:val="22"/>
        </w:rPr>
        <w:t>Regulatory submissions expected</w:t>
      </w:r>
    </w:p>
    <w:p>
      <w:pPr>
        <w:pStyle w:val="TextBody"/>
        <w:bidi w:val="0"/>
        <w:spacing w:lineRule="auto" w:line="319" w:before="0" w:after="0"/>
        <w:jc w:val="both"/>
        <w:rPr/>
      </w:pPr>
      <w:r>
        <w:rPr>
          <w:rFonts w:ascii="Arial;sans-serif" w:hAnsi="Arial;sans-serif"/>
          <w:b w:val="false"/>
          <w:color w:val="1E4179"/>
          <w:sz w:val="22"/>
        </w:rPr>
        <w:t>In March 2026, Valneva and Pfizer announced topline results from the Phase 3 VALOR “Vaccine Against Lyme for Outdoor Recreationists” clinical trial (</w:t>
      </w:r>
      <w:r>
        <w:rPr>
          <w:rFonts w:ascii="Arial;sans-serif" w:hAnsi="Arial;sans-serif"/>
          <w:b w:val="false"/>
          <w:color w:val="000000"/>
          <w:sz w:val="22"/>
        </w:rPr>
        <w:t>NCT05477524</w:t>
      </w:r>
      <w:r>
        <w:rPr>
          <w:rFonts w:ascii="Arial;sans-serif" w:hAnsi="Arial;sans-serif"/>
          <w:b w:val="false"/>
          <w:color w:val="1E4179"/>
          <w:sz w:val="22"/>
        </w:rPr>
        <w:t>) of their investigational six valent OspA-based Lyme disease vaccine candidate LB6V</w:t>
      </w:r>
      <w:r>
        <w:rPr>
          <w:rFonts w:ascii="Arial;sans-serif" w:hAnsi="Arial;sans-serif"/>
          <w:b w:val="false"/>
          <w:color w:val="1E4179"/>
          <w:sz w:val="14"/>
        </w:rPr>
        <w:t>4</w:t>
      </w:r>
      <w:r>
        <w:rPr>
          <w:rFonts w:ascii="Arial;sans-serif" w:hAnsi="Arial;sans-serif"/>
          <w:b w:val="false"/>
          <w:color w:val="1E4179"/>
          <w:sz w:val="22"/>
        </w:rPr>
        <w:t>.</w:t>
      </w:r>
    </w:p>
    <w:p>
      <w:pPr>
        <w:pStyle w:val="TextBody"/>
        <w:bidi w:val="0"/>
        <w:spacing w:lineRule="auto" w:line="319" w:before="0" w:after="0"/>
        <w:jc w:val="both"/>
        <w:rPr>
          <w:rFonts w:ascii="Arial;sans-serif" w:hAnsi="Arial;sans-serif"/>
          <w:b w:val="false"/>
          <w:color w:val="1E4179"/>
          <w:sz w:val="22"/>
        </w:rPr>
      </w:pPr>
      <w:r>
        <w:rPr>
          <w:rFonts w:ascii="Arial;sans-serif" w:hAnsi="Arial;sans-serif"/>
          <w:b w:val="false"/>
          <w:color w:val="1E4179"/>
          <w:sz w:val="22"/>
        </w:rPr>
        <w:t>LB6V demonstrated more than 70% efficacy in preventing Lyme disease in individuals aged five years and above. The investigational vaccine candidate was well tolerated with no safety concerns identified. Overall, results strengthen confidence in the vaccine candidate and Pfizer is planning submissions to regulatory authorities.</w:t>
      </w:r>
    </w:p>
    <w:p>
      <w:pPr>
        <w:pStyle w:val="TextBody"/>
        <w:bidi w:val="0"/>
        <w:spacing w:lineRule="auto" w:line="319" w:before="0" w:after="0"/>
        <w:jc w:val="both"/>
        <w:rPr>
          <w:rFonts w:ascii="Arial;sans-serif" w:hAnsi="Arial;sans-serif"/>
          <w:b w:val="false"/>
          <w:color w:val="1E4179"/>
          <w:sz w:val="22"/>
        </w:rPr>
      </w:pPr>
      <w:r>
        <w:rPr>
          <w:rFonts w:ascii="Arial;sans-serif" w:hAnsi="Arial;sans-serif"/>
          <w:b w:val="false"/>
          <w:color w:val="1E4179"/>
          <w:sz w:val="22"/>
        </w:rPr>
        <w:t>VLA15 is the only Lyme disease program in late-stage clinical development today and has received Fast Track designation from the U.S. Food and Drug Administration (FDA).</w:t>
      </w:r>
    </w:p>
    <w:p>
      <w:pPr>
        <w:pStyle w:val="TextBody"/>
        <w:bidi w:val="0"/>
        <w:spacing w:lineRule="auto" w:line="333" w:before="0" w:after="0"/>
        <w:jc w:val="left"/>
        <w:rPr/>
      </w:pPr>
      <w:r>
        <w:rPr>
          <w:rFonts w:ascii="Arial;sans-serif" w:hAnsi="Arial;sans-serif"/>
          <w:b w:val="false"/>
          <w:i/>
          <w:color w:val="002060"/>
          <w:sz w:val="10"/>
        </w:rPr>
        <w:t>3</w:t>
      </w:r>
      <w:r>
        <w:rPr>
          <w:color w:val="002060"/>
        </w:rPr>
        <w:t xml:space="preserve"> </w:t>
      </w:r>
      <w:r>
        <w:rPr>
          <w:rFonts w:ascii="Arial;sans-serif" w:hAnsi="Arial;sans-serif"/>
          <w:b w:val="false"/>
          <w:i/>
          <w:color w:val="002060"/>
          <w:sz w:val="16"/>
        </w:rPr>
        <w:t>Indications differ by country - Please refer to Product / Prescribing Information (PI) / Medication Guide approved in your respective countries for complete information, incl. dosing, safety and age groups in which this vaccine is licensed, ETEC = Enterotoxigenic Escherichia coli (E. Coli) bacterium.</w:t>
      </w:r>
    </w:p>
    <w:p>
      <w:pPr>
        <w:pStyle w:val="TextBody"/>
        <w:bidi w:val="0"/>
        <w:spacing w:lineRule="auto" w:line="288"/>
        <w:jc w:val="left"/>
        <w:rPr/>
      </w:pPr>
      <w:r>
        <w:rPr>
          <w:rFonts w:ascii="Arial;sans-serif" w:hAnsi="Arial;sans-serif"/>
          <w:b w:val="false"/>
          <w:color w:val="000000"/>
          <w:sz w:val="16"/>
        </w:rPr>
        <w:t>4</w:t>
      </w:r>
      <w:r>
        <w:rPr>
          <w:color w:val="000000"/>
        </w:rPr>
        <w:t xml:space="preserve"> </w:t>
      </w:r>
      <w:r>
        <w:rPr>
          <w:rFonts w:ascii="Arial;sans-serif" w:hAnsi="Arial;sans-serif"/>
          <w:b w:val="false"/>
          <w:i/>
          <w:color w:val="000000"/>
          <w:sz w:val="16"/>
        </w:rPr>
        <w:t>2026_03_23_Lyme-Phase-3-Data-Read-out_PR_EN_FINAL.pdf</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67665"/>
                <wp:effectExtent l="0" t="0" r="0" b="0"/>
                <wp:wrapNone/>
                <wp:docPr id="5" name="Frame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319" w:before="0" w:after="120"/>
        <w:jc w:val="left"/>
        <w:rPr/>
      </w:pPr>
      <w:r>
        <w:rPr>
          <w:rFonts w:ascii="Arial;sans-serif" w:hAnsi="Arial;sans-serif"/>
          <w:b/>
          <w:color w:val="1E4179"/>
          <w:sz w:val="22"/>
        </w:rPr>
        <w:t>CHIKUNGUNYA VACCINE - IXCHIQ</w:t>
      </w:r>
      <w:r>
        <w:rPr>
          <w:rFonts w:ascii="Arial;sans-serif" w:hAnsi="Arial;sans-serif"/>
          <w:b/>
          <w:color w:val="1E4179"/>
          <w:sz w:val="14"/>
        </w:rPr>
        <w:t xml:space="preserve">® </w:t>
      </w:r>
      <w:r>
        <w:rPr>
          <w:rFonts w:ascii="Arial;sans-serif" w:hAnsi="Arial;sans-serif"/>
          <w:b/>
          <w:color w:val="1E4179"/>
          <w:sz w:val="22"/>
        </w:rPr>
        <w:t>/ VLA1553</w:t>
        <w:br/>
        <w:t>Pilot vaccination campaign ongoing in Brazil</w:t>
      </w:r>
    </w:p>
    <w:p>
      <w:pPr>
        <w:pStyle w:val="TextBody"/>
        <w:bidi w:val="0"/>
        <w:spacing w:lineRule="auto" w:line="319" w:before="0" w:after="0"/>
        <w:jc w:val="both"/>
        <w:rPr/>
      </w:pPr>
      <w:r>
        <w:rPr>
          <w:rFonts w:ascii="Arial;sans-serif" w:hAnsi="Arial;sans-serif"/>
          <w:b w:val="false"/>
          <w:color w:val="1E4179"/>
          <w:sz w:val="22"/>
        </w:rPr>
        <w:t>In February 2026, Valneva and Instituto Butantan announced the initiation of a Pilot Vaccination Strategy (PVS) in Brazil using Valneva’s single-shot chikungunya vaccine, IXCHIQ</w:t>
      </w:r>
      <w:r>
        <w:rPr>
          <w:rFonts w:ascii="Arial;sans-serif" w:hAnsi="Arial;sans-serif"/>
          <w:b/>
          <w:color w:val="1E4179"/>
          <w:sz w:val="14"/>
        </w:rPr>
        <w:t>®</w:t>
      </w:r>
      <w:r>
        <w:rPr>
          <w:rFonts w:ascii="Arial;sans-serif" w:hAnsi="Arial;sans-serif"/>
          <w:b w:val="false"/>
          <w:color w:val="1E4179"/>
          <w:sz w:val="22"/>
        </w:rPr>
        <w:t xml:space="preserve">. </w:t>
      </w:r>
    </w:p>
    <w:p>
      <w:pPr>
        <w:pStyle w:val="TextBody"/>
        <w:bidi w:val="0"/>
        <w:spacing w:lineRule="auto" w:line="319" w:before="0" w:after="160"/>
        <w:jc w:val="both"/>
        <w:rPr/>
      </w:pPr>
      <w:r>
        <w:rPr>
          <w:rFonts w:ascii="Arial;sans-serif" w:hAnsi="Arial;sans-serif"/>
          <w:b w:val="false"/>
          <w:color w:val="1E4179"/>
          <w:sz w:val="22"/>
        </w:rPr>
        <w:t>The vaccination campaign will serve as the basis for post-marketing commitments. To date, over 30,000 adults, aged 18 to 59 years, have already been vaccinated as part of this campaign which evaluates the effectiveness and safety of IXCHIQ</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in a real-world setting.</w:t>
      </w:r>
    </w:p>
    <w:p>
      <w:pPr>
        <w:pStyle w:val="TextBody"/>
        <w:bidi w:val="0"/>
        <w:spacing w:lineRule="auto" w:line="319" w:before="0" w:after="0"/>
        <w:jc w:val="both"/>
        <w:rPr/>
      </w:pPr>
      <w:r>
        <w:rPr>
          <w:rFonts w:ascii="Arial;sans-serif" w:hAnsi="Arial;sans-serif"/>
          <w:b w:val="false"/>
          <w:color w:val="1E4179"/>
          <w:sz w:val="22"/>
        </w:rPr>
        <w:t>In early May 2026, the Brazilian Health Regulatory Agency (ANVISA) authorized Instituto Butantan to locally manufacture a version of Valneva’s chikungunya vaccine</w:t>
      </w:r>
      <w:r>
        <w:rPr>
          <w:rFonts w:ascii="Arial;sans-serif" w:hAnsi="Arial;sans-serif"/>
          <w:b w:val="false"/>
          <w:color w:val="1E4179"/>
          <w:sz w:val="14"/>
        </w:rPr>
        <w:t>5</w:t>
      </w:r>
      <w:r>
        <w:rPr>
          <w:rFonts w:ascii="Arial;sans-serif" w:hAnsi="Arial;sans-serif"/>
          <w:b w:val="false"/>
          <w:color w:val="1E4179"/>
          <w:sz w:val="22"/>
        </w:rPr>
        <w:t xml:space="preserve">. With this authorization, the vaccine – developed in partnership with Valneva and supported by the Coalition for Epidemic Preparedness Innovations (CEPI) – is approved for use in Brazil in individuals aged 18 to 59 and can be incorporated into the Unified Health System.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3C73"/>
          <w:sz w:val="22"/>
        </w:rPr>
      </w:pPr>
      <w:r>
        <w:rPr>
          <w:rFonts w:ascii="Arial;sans-serif" w:hAnsi="Arial;sans-serif"/>
          <w:b/>
          <w:color w:val="1E3C73"/>
          <w:sz w:val="22"/>
        </w:rPr>
        <w:t>SHIGELLA VACCINE CANDIDATE – S4V2</w:t>
      </w:r>
    </w:p>
    <w:p>
      <w:pPr>
        <w:pStyle w:val="TextBody"/>
        <w:bidi w:val="0"/>
        <w:spacing w:lineRule="auto" w:line="319" w:before="0" w:after="120"/>
        <w:jc w:val="both"/>
        <w:rPr>
          <w:rFonts w:ascii="Arial;sans-serif" w:hAnsi="Arial;sans-serif"/>
          <w:b/>
          <w:color w:val="1E4179"/>
          <w:sz w:val="22"/>
        </w:rPr>
      </w:pPr>
      <w:r>
        <w:rPr>
          <w:rFonts w:ascii="Arial;sans-serif" w:hAnsi="Arial;sans-serif"/>
          <w:b/>
          <w:color w:val="1E4179"/>
          <w:sz w:val="22"/>
        </w:rPr>
        <w:t>First Phase 2 results expected mid-2026</w:t>
      </w:r>
    </w:p>
    <w:p>
      <w:pPr>
        <w:pStyle w:val="TextBody"/>
        <w:bidi w:val="0"/>
        <w:spacing w:lineRule="auto" w:line="319" w:before="0" w:after="0"/>
        <w:jc w:val="both"/>
        <w:rPr>
          <w:rFonts w:ascii="Arial;sans-serif" w:hAnsi="Arial;sans-serif"/>
          <w:b w:val="false"/>
          <w:color w:val="1E4179"/>
          <w:sz w:val="22"/>
        </w:rPr>
      </w:pPr>
      <w:r>
        <w:rPr>
          <w:rFonts w:ascii="Arial;sans-serif" w:hAnsi="Arial;sans-serif"/>
          <w:b w:val="false"/>
          <w:color w:val="1E4179"/>
          <w:sz w:val="22"/>
        </w:rPr>
        <w:t xml:space="preserve">S4V2 is the world’s most clinically advanced tetravalent vaccine candidate against shigellosis, the second leading cause of fatal diarrhea worldwide. </w:t>
      </w:r>
    </w:p>
    <w:p>
      <w:pPr>
        <w:pStyle w:val="TextBody"/>
        <w:bidi w:val="0"/>
        <w:spacing w:lineRule="auto" w:line="319" w:before="0" w:after="0"/>
        <w:jc w:val="both"/>
        <w:rPr/>
      </w:pPr>
      <w:r>
        <w:rPr>
          <w:rFonts w:ascii="Arial;sans-serif" w:hAnsi="Arial;sans-serif"/>
          <w:b w:val="false"/>
          <w:color w:val="1E4179"/>
          <w:sz w:val="22"/>
          <w:shd w:fill="FFFFFF" w:val="clear"/>
        </w:rPr>
        <w:t>Two clinical trials of S4V2, a Phase 2 infant safety and immunogenicity trial</w:t>
      </w:r>
      <w:r>
        <w:rPr>
          <w:rFonts w:ascii="Arial;sans-serif" w:hAnsi="Arial;sans-serif"/>
          <w:b w:val="false"/>
          <w:color w:val="1E4179"/>
          <w:sz w:val="14"/>
        </w:rPr>
        <w:t>6</w:t>
      </w:r>
      <w:r>
        <w:rPr>
          <w:rFonts w:ascii="Arial;sans-serif" w:hAnsi="Arial;sans-serif"/>
          <w:b w:val="false"/>
          <w:color w:val="1E4179"/>
          <w:sz w:val="22"/>
          <w:shd w:fill="FFFFFF" w:val="clear"/>
        </w:rPr>
        <w:t>, and a Phase 2b Human Challenge trial (CHIM)</w:t>
      </w:r>
      <w:r>
        <w:rPr>
          <w:rFonts w:ascii="Arial;sans-serif" w:hAnsi="Arial;sans-serif"/>
          <w:b w:val="false"/>
          <w:color w:val="1E4179"/>
          <w:sz w:val="14"/>
        </w:rPr>
        <w:t>7</w:t>
      </w:r>
      <w:r>
        <w:rPr>
          <w:rFonts w:ascii="Arial;sans-serif" w:hAnsi="Arial;sans-serif"/>
          <w:b w:val="false"/>
          <w:color w:val="1E4179"/>
          <w:sz w:val="22"/>
          <w:shd w:fill="FFFFFF" w:val="clear"/>
        </w:rPr>
        <w:t>, sponsored by LimmaTech Biologics AG, are ongoing. First Phase 2 results are expected mid-2026. Subject to positive results for both trials, Valneva will assume responsibility for all further development</w:t>
      </w:r>
      <w:r>
        <w:rPr>
          <w:rFonts w:ascii="Arial;sans-serif" w:hAnsi="Arial;sans-serif"/>
          <w:b w:val="false"/>
          <w:color w:val="1E4179"/>
          <w:sz w:val="14"/>
        </w:rPr>
        <w:t>8</w:t>
      </w:r>
      <w:r>
        <w:rPr>
          <w:rFonts w:ascii="Arial;sans-serif" w:hAnsi="Arial;sans-serif"/>
          <w:b w:val="false"/>
          <w:color w:val="1E4179"/>
          <w:sz w:val="22"/>
          <w:shd w:fill="FFFFFF" w:val="clear"/>
        </w:rPr>
        <w:t>.</w:t>
      </w:r>
    </w:p>
    <w:p>
      <w:pPr>
        <w:pStyle w:val="TextBody"/>
        <w:bidi w:val="0"/>
        <w:spacing w:lineRule="auto" w:line="319" w:before="0" w:after="0"/>
        <w:jc w:val="both"/>
        <w:rPr/>
      </w:pPr>
      <w:r>
        <w:rPr>
          <w:rFonts w:ascii="Arial;sans-serif" w:hAnsi="Arial;sans-serif"/>
          <w:b w:val="false"/>
          <w:color w:val="1E4179"/>
          <w:sz w:val="22"/>
          <w:shd w:fill="FFFFFF" w:val="clear"/>
        </w:rPr>
        <w:t>No approved multivalent Shigella vaccine is currently available outside of Russia or China, and the development of Shigella vaccines has been identified as a priority by the World Health Organization (WHO)</w:t>
      </w:r>
      <w:r>
        <w:rPr>
          <w:rFonts w:ascii="Arial;sans-serif" w:hAnsi="Arial;sans-serif"/>
          <w:b w:val="false"/>
          <w:color w:val="1E4179"/>
          <w:sz w:val="14"/>
        </w:rPr>
        <w:t>9</w:t>
      </w:r>
      <w:r>
        <w:rPr>
          <w:rFonts w:ascii="Arial;sans-serif" w:hAnsi="Arial;sans-serif"/>
          <w:b w:val="false"/>
          <w:color w:val="1E4179"/>
          <w:sz w:val="22"/>
          <w:shd w:fill="FFFFFF" w:val="clear"/>
        </w:rPr>
        <w:t>. In October 2024, the U.S. FDA granted Fast Track designation to S4V2, recognizing its potential to address a serious condition and fill an unmet medical need</w:t>
      </w:r>
      <w:r>
        <w:rPr>
          <w:rFonts w:ascii="Arial;sans-serif" w:hAnsi="Arial;sans-serif"/>
          <w:b w:val="false"/>
          <w:color w:val="1E4179"/>
          <w:sz w:val="14"/>
        </w:rPr>
        <w:t>10</w:t>
      </w:r>
      <w:r>
        <w:rPr>
          <w:rFonts w:ascii="Arial;sans-serif" w:hAnsi="Arial;sans-serif"/>
          <w:b w:val="false"/>
          <w:color w:val="1E4179"/>
          <w:sz w:val="22"/>
          <w:shd w:fill="FFFFFF" w:val="clear"/>
        </w:rPr>
        <w:t>. The global market opportunity for a vaccine against Shigella is estimated to exceed $500 million annually</w:t>
      </w:r>
      <w:r>
        <w:rPr>
          <w:rFonts w:ascii="Arial;sans-serif" w:hAnsi="Arial;sans-serif"/>
          <w:b w:val="false"/>
          <w:color w:val="1E4179"/>
          <w:sz w:val="14"/>
        </w:rPr>
        <w:t>11</w:t>
      </w:r>
      <w:r>
        <w:rPr>
          <w:rFonts w:ascii="Arial;sans-serif" w:hAnsi="Arial;sans-serif"/>
          <w:b w:val="false"/>
          <w:color w:val="1E4179"/>
          <w:sz w:val="22"/>
          <w:shd w:fill="FFFFFF" w:val="clear"/>
        </w:rPr>
        <w:t>.</w:t>
      </w:r>
    </w:p>
    <w:p>
      <w:pPr>
        <w:pStyle w:val="TextBody"/>
        <w:bidi w:val="0"/>
        <w:spacing w:before="0" w:after="160"/>
        <w:jc w:val="left"/>
        <w:rPr/>
      </w:pPr>
      <w:r>
        <w:rPr/>
      </w:r>
    </w:p>
    <w:p>
      <w:pPr>
        <w:pStyle w:val="TextBody"/>
        <w:bidi w:val="0"/>
        <w:spacing w:lineRule="auto" w:line="288" w:before="0" w:after="0"/>
        <w:jc w:val="left"/>
        <w:rPr/>
      </w:pPr>
      <w:r>
        <w:rPr>
          <w:rFonts w:ascii="Arial;sans-serif" w:hAnsi="Arial;sans-serif"/>
          <w:b w:val="false"/>
          <w:i/>
          <w:color w:val="002060"/>
          <w:sz w:val="10"/>
        </w:rPr>
        <w:t>5</w:t>
      </w:r>
      <w:r>
        <w:rPr>
          <w:color w:val="002060"/>
        </w:rPr>
        <w:t xml:space="preserve"> </w:t>
      </w:r>
      <w:r>
        <w:rPr>
          <w:rFonts w:ascii="Arial;sans-serif" w:hAnsi="Arial;sans-serif"/>
          <w:b w:val="false"/>
          <w:i/>
          <w:color w:val="002060"/>
          <w:sz w:val="16"/>
        </w:rPr>
        <w:t>https://butantan.gov.br/noticias/anvisa-autoriza-producao-nacional-da-vacina-contra-a-chikungunya-pelo-instituto-butantan?utm_source=linkedin&amp;utm_medium=social&amp;utm_campaign=site-not%C3%83%C2%ADcia&amp;utm_term=ead%20da%20esib&amp;utm_content=ead%20da%20esib</w:t>
      </w:r>
    </w:p>
    <w:p>
      <w:pPr>
        <w:pStyle w:val="TextBody"/>
        <w:bidi w:val="0"/>
        <w:spacing w:lineRule="auto" w:line="288" w:before="0" w:after="0"/>
        <w:jc w:val="left"/>
        <w:rPr/>
      </w:pPr>
      <w:r>
        <w:rPr>
          <w:rFonts w:ascii="Arial;sans-serif" w:hAnsi="Arial;sans-serif"/>
          <w:b w:val="false"/>
          <w:i/>
          <w:color w:val="002060"/>
          <w:sz w:val="10"/>
        </w:rPr>
        <w:t>6</w:t>
      </w:r>
      <w:r>
        <w:rPr>
          <w:color w:val="002060"/>
        </w:rPr>
        <w:t xml:space="preserve"> </w:t>
      </w:r>
      <w:r>
        <w:rPr>
          <w:rFonts w:ascii="Arial;sans-serif" w:hAnsi="Arial;sans-serif"/>
          <w:b w:val="false"/>
          <w:i/>
          <w:color w:val="002060"/>
          <w:sz w:val="16"/>
        </w:rPr>
        <w:t>Valneva and LimmaTech Announce First Vaccination in Phase 2 Infant Study of Tetravalent Shigella Vaccine Candidate S4V2 - Valneva</w:t>
      </w:r>
    </w:p>
    <w:p>
      <w:pPr>
        <w:pStyle w:val="TextBody"/>
        <w:bidi w:val="0"/>
        <w:spacing w:lineRule="auto" w:line="288" w:before="0" w:after="0"/>
        <w:jc w:val="left"/>
        <w:rPr/>
      </w:pPr>
      <w:r>
        <w:rPr>
          <w:rFonts w:ascii="Arial;sans-serif" w:hAnsi="Arial;sans-serif"/>
          <w:b w:val="false"/>
          <w:i/>
          <w:color w:val="002060"/>
          <w:sz w:val="10"/>
        </w:rPr>
        <w:t>7</w:t>
      </w:r>
      <w:r>
        <w:rPr>
          <w:color w:val="002060"/>
        </w:rPr>
        <w:t xml:space="preserve"> </w:t>
      </w:r>
      <w:r>
        <w:rPr>
          <w:rFonts w:ascii="Arial;sans-serif" w:hAnsi="Arial;sans-serif"/>
          <w:b w:val="false"/>
          <w:i/>
          <w:color w:val="002060"/>
          <w:sz w:val="16"/>
        </w:rPr>
        <w:t>Valneva and LimmaTech Announce First Vaccination in Phase 2b Human Challenge Study of Tetravalent Shigella Vaccine Candidate S4V2</w:t>
      </w:r>
    </w:p>
    <w:p>
      <w:pPr>
        <w:pStyle w:val="TextBody"/>
        <w:bidi w:val="0"/>
        <w:spacing w:lineRule="auto" w:line="288" w:before="0" w:after="0"/>
        <w:jc w:val="left"/>
        <w:rPr/>
      </w:pPr>
      <w:r>
        <w:rPr>
          <w:rFonts w:ascii="Arial;sans-serif" w:hAnsi="Arial;sans-serif"/>
          <w:b w:val="false"/>
          <w:color w:val="002060"/>
          <w:sz w:val="10"/>
        </w:rPr>
        <w:t>8</w:t>
      </w:r>
      <w:r>
        <w:rPr>
          <w:color w:val="002060"/>
        </w:rPr>
        <w:t xml:space="preserve"> </w:t>
      </w:r>
      <w:r>
        <w:rPr>
          <w:rFonts w:ascii="Arial;sans-serif" w:hAnsi="Arial;sans-serif"/>
          <w:b w:val="false"/>
          <w:i/>
          <w:color w:val="002060"/>
          <w:sz w:val="16"/>
        </w:rPr>
        <w:t>Valneva and LimmaTech Enter into a Strategic Partnership to Accelerate the Development of the World’s Most Clinically Advanced Tetravalent Shigella Vaccine Candidate - Valneva</w:t>
      </w:r>
    </w:p>
    <w:p>
      <w:pPr>
        <w:pStyle w:val="TextBody"/>
        <w:bidi w:val="0"/>
        <w:spacing w:lineRule="auto" w:line="333" w:before="0" w:after="0"/>
        <w:jc w:val="left"/>
        <w:rPr/>
      </w:pPr>
      <w:r>
        <w:rPr>
          <w:rFonts w:ascii="Arial;sans-serif" w:hAnsi="Arial;sans-serif"/>
          <w:b w:val="false"/>
          <w:i/>
          <w:color w:val="002060"/>
          <w:sz w:val="10"/>
        </w:rPr>
        <w:t>9</w:t>
      </w:r>
      <w:r>
        <w:rPr>
          <w:color w:val="002060"/>
        </w:rPr>
        <w:t xml:space="preserve"> </w:t>
      </w:r>
      <w:r>
        <w:rPr>
          <w:rFonts w:ascii="Arial;sans-serif" w:hAnsi="Arial;sans-serif"/>
          <w:b w:val="false"/>
          <w:i/>
          <w:color w:val="002060"/>
          <w:sz w:val="16"/>
        </w:rPr>
        <w:t>Immunization, Vaccines and Biologicals (who.int)</w:t>
      </w:r>
    </w:p>
    <w:p>
      <w:pPr>
        <w:pStyle w:val="TextBody"/>
        <w:bidi w:val="0"/>
        <w:spacing w:lineRule="auto" w:line="333" w:before="0" w:after="0"/>
        <w:jc w:val="left"/>
        <w:rPr/>
      </w:pPr>
      <w:r>
        <w:rPr>
          <w:rFonts w:ascii="Arial;sans-serif" w:hAnsi="Arial;sans-serif"/>
          <w:b w:val="false"/>
          <w:i/>
          <w:color w:val="002060"/>
          <w:sz w:val="10"/>
        </w:rPr>
        <w:t>10</w:t>
      </w:r>
      <w:r>
        <w:rPr>
          <w:color w:val="002060"/>
        </w:rPr>
        <w:t xml:space="preserve"> </w:t>
      </w:r>
      <w:r>
        <w:rPr>
          <w:rFonts w:ascii="Arial;sans-serif" w:hAnsi="Arial;sans-serif"/>
          <w:b w:val="false"/>
          <w:i/>
          <w:color w:val="002060"/>
          <w:sz w:val="16"/>
        </w:rPr>
        <w:t>Valneva and LimmaTech Awarded FDA Fast Track Designation for Tetravalent Shigella Vaccine Candidate S4V - Valneva</w:t>
      </w:r>
    </w:p>
    <w:p>
      <w:pPr>
        <w:pStyle w:val="TextBody"/>
        <w:bidi w:val="0"/>
        <w:spacing w:lineRule="auto" w:line="333"/>
        <w:jc w:val="left"/>
        <w:rPr/>
      </w:pPr>
      <w:r>
        <w:rPr>
          <w:rFonts w:ascii="Arial;sans-serif" w:hAnsi="Arial;sans-serif"/>
          <w:b w:val="false"/>
          <w:i/>
          <w:color w:val="002060"/>
          <w:sz w:val="10"/>
        </w:rPr>
        <w:t>11</w:t>
      </w:r>
      <w:r>
        <w:rPr>
          <w:color w:val="002060"/>
        </w:rPr>
        <w:t xml:space="preserve"> </w:t>
      </w:r>
      <w:r>
        <w:rPr>
          <w:rFonts w:ascii="Arial;sans-serif" w:hAnsi="Arial;sans-serif"/>
          <w:b w:val="false"/>
          <w:i/>
          <w:color w:val="002060"/>
          <w:sz w:val="16"/>
        </w:rPr>
        <w:t>LEK analysis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67665"/>
                <wp:effectExtent l="0" t="0" r="0" b="0"/>
                <wp:wrapNone/>
                <wp:docPr id="6" name="Frame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rFonts w:ascii="Arial;sans-serif" w:hAnsi="Arial;sans-serif"/>
          <w:b/>
          <w:color w:val="00A0CD"/>
          <w:sz w:val="24"/>
        </w:rPr>
      </w:pPr>
      <w:r>
        <w:rPr>
          <w:rFonts w:ascii="Arial;sans-serif" w:hAnsi="Arial;sans-serif"/>
          <w:b/>
          <w:color w:val="00A0CD"/>
          <w:sz w:val="24"/>
        </w:rPr>
        <w:t xml:space="preserve">First Quarter 2026 Financial Review </w:t>
      </w:r>
    </w:p>
    <w:p>
      <w:pPr>
        <w:pStyle w:val="TextBody"/>
        <w:bidi w:val="0"/>
        <w:spacing w:lineRule="auto" w:line="300" w:before="0" w:after="0"/>
        <w:jc w:val="both"/>
        <w:rPr>
          <w:rFonts w:ascii="Arial;sans-serif" w:hAnsi="Arial;sans-serif"/>
          <w:b w:val="false"/>
          <w:color w:val="00A0CD"/>
          <w:sz w:val="22"/>
        </w:rPr>
      </w:pPr>
      <w:r>
        <w:rPr>
          <w:rFonts w:ascii="Arial;sans-serif" w:hAnsi="Arial;sans-serif"/>
          <w:b w:val="false"/>
          <w:color w:val="00A0CD"/>
          <w:sz w:val="22"/>
        </w:rPr>
        <w:t>(Unaudited, consolidated under IFRS)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3C73"/>
          <w:sz w:val="22"/>
        </w:rPr>
      </w:pPr>
      <w:r>
        <w:rPr>
          <w:rFonts w:ascii="Arial;sans-serif" w:hAnsi="Arial;sans-serif"/>
          <w:b/>
          <w:color w:val="1E3C73"/>
          <w:sz w:val="22"/>
        </w:rPr>
        <w:t>Revenues</w:t>
      </w:r>
    </w:p>
    <w:p>
      <w:pPr>
        <w:pStyle w:val="TextBody"/>
        <w:bidi w:val="0"/>
        <w:spacing w:lineRule="auto" w:line="319" w:before="0" w:after="0"/>
        <w:jc w:val="both"/>
        <w:rPr/>
      </w:pPr>
      <w:r>
        <w:rPr>
          <w:rFonts w:ascii="Arial;sans-serif" w:hAnsi="Arial;sans-serif"/>
          <w:b w:val="false"/>
          <w:color w:val="1E4179"/>
          <w:sz w:val="22"/>
        </w:rPr>
        <w:t>Valneva’s total revenues were €30.9 million in the three months ended March 31, 2026 compared to €49.2 million for the same period in 2025. The decrease was primarily attributable to the discontinuation of third-party product distribution, differences in the schedule of shipments to the U.S. Department of Defense, the distributor transition in Germany, as well as one off outbreak-related sales of DUKORAL</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and IXCHIQ</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in 2025 that did not recur in 2026.</w:t>
      </w:r>
    </w:p>
    <w:p>
      <w:pPr>
        <w:pStyle w:val="TextBody"/>
        <w:bidi w:val="0"/>
        <w:spacing w:lineRule="auto" w:line="319" w:before="0" w:after="0"/>
        <w:jc w:val="both"/>
        <w:rPr>
          <w:rFonts w:ascii="Arial;sans-serif" w:hAnsi="Arial;sans-serif"/>
          <w:b w:val="false"/>
          <w:color w:val="1E4179"/>
          <w:sz w:val="22"/>
        </w:rPr>
      </w:pPr>
      <w:r>
        <w:rPr>
          <w:rFonts w:ascii="Arial;sans-serif" w:hAnsi="Arial;sans-serif"/>
          <w:b w:val="false"/>
          <w:color w:val="1E4179"/>
          <w:sz w:val="22"/>
        </w:rPr>
        <w:t>Other revenues, including revenues from collaborations, licensing and services remained largely unchanged and amounted to €0.4 million in the three months ended March 31, 2026 compared to €0.6 million for the same period in 2025.</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3C73"/>
          <w:sz w:val="22"/>
        </w:rPr>
      </w:pPr>
      <w:r>
        <w:rPr>
          <w:rFonts w:ascii="Arial;sans-serif" w:hAnsi="Arial;sans-serif"/>
          <w:b/>
          <w:color w:val="1E3C73"/>
          <w:sz w:val="22"/>
        </w:rPr>
        <w:t>Operating Result and adjusted EBITDA</w:t>
      </w:r>
    </w:p>
    <w:p>
      <w:pPr>
        <w:pStyle w:val="TextBody"/>
        <w:bidi w:val="0"/>
        <w:spacing w:lineRule="auto" w:line="319" w:before="0" w:after="0"/>
        <w:jc w:val="both"/>
        <w:rPr/>
      </w:pPr>
      <w:r>
        <w:rPr>
          <w:rFonts w:ascii="Arial;sans-serif" w:hAnsi="Arial;sans-serif"/>
          <w:b w:val="false"/>
          <w:color w:val="1E4179"/>
          <w:sz w:val="22"/>
        </w:rPr>
        <w:t>Costs of goods and services sold (COGS) were €26.2 million for the three months ended March 31, 2026. The gross margin on commercial product sales, excluding IXCHIQ</w:t>
      </w:r>
      <w:r>
        <w:rPr>
          <w:rFonts w:ascii="Arial;sans-serif" w:hAnsi="Arial;sans-serif"/>
          <w:b w:val="false"/>
          <w:color w:val="1E4179"/>
          <w:sz w:val="14"/>
        </w:rPr>
        <w:t>®</w:t>
      </w:r>
      <w:r>
        <w:rPr>
          <w:rFonts w:ascii="Arial;sans-serif" w:hAnsi="Arial;sans-serif"/>
          <w:b w:val="false"/>
          <w:color w:val="1E4179"/>
          <w:sz w:val="22"/>
        </w:rPr>
        <w:t>, was 45.1% compared to 62.7% for the three months ended March 31, 2025. The positive impact of lower third-party product sales was offset by higher manufacturing expenses following the transfer of manufacturing to the new Almeida facility in Scotland, and by additional one-time effects.</w:t>
      </w:r>
    </w:p>
    <w:p>
      <w:pPr>
        <w:pStyle w:val="TextBody"/>
        <w:bidi w:val="0"/>
        <w:spacing w:lineRule="auto" w:line="319" w:before="0" w:after="0"/>
        <w:jc w:val="both"/>
        <w:rPr/>
      </w:pPr>
      <w:r>
        <w:rPr>
          <w:rFonts w:ascii="Arial;sans-serif" w:hAnsi="Arial;sans-serif"/>
          <w:b w:val="false"/>
          <w:color w:val="1E3C73"/>
          <w:sz w:val="22"/>
        </w:rPr>
        <w:t>Gross margin for IXIARO</w:t>
      </w:r>
      <w:r>
        <w:rPr>
          <w:rFonts w:ascii="Arial;sans-serif" w:hAnsi="Arial;sans-serif"/>
          <w:b w:val="false"/>
          <w:color w:val="1E3C73"/>
          <w:sz w:val="14"/>
        </w:rPr>
        <w:t>®</w:t>
      </w:r>
      <w:r>
        <w:rPr>
          <w:color w:val="1E3C73"/>
        </w:rPr>
        <w:t xml:space="preserve"> </w:t>
      </w:r>
      <w:r>
        <w:rPr>
          <w:rFonts w:ascii="Arial;sans-serif" w:hAnsi="Arial;sans-serif"/>
          <w:b w:val="false"/>
          <w:color w:val="1E3C73"/>
          <w:sz w:val="22"/>
        </w:rPr>
        <w:t>was 50.8% compared to an exceptionally high 72.6% achieved in the first quarter of 2025 (full-year 2025 IXIARO</w:t>
      </w:r>
      <w:r>
        <w:rPr>
          <w:rFonts w:ascii="Arial;sans-serif" w:hAnsi="Arial;sans-serif"/>
          <w:b w:val="false"/>
          <w:color w:val="1E3C73"/>
          <w:sz w:val="14"/>
        </w:rPr>
        <w:t xml:space="preserve">® </w:t>
      </w:r>
      <w:r>
        <w:rPr>
          <w:rFonts w:ascii="Arial;sans-serif" w:hAnsi="Arial;sans-serif"/>
          <w:b w:val="false"/>
          <w:color w:val="1E3C73"/>
          <w:sz w:val="22"/>
        </w:rPr>
        <w:t xml:space="preserve">gross margin of 59.6%). The decline was primarily driven by higher manufacturing costs at the Almeida facility, increased batch write-offs, and lower sales volumes. </w:t>
      </w:r>
    </w:p>
    <w:p>
      <w:pPr>
        <w:pStyle w:val="TextBody"/>
        <w:bidi w:val="0"/>
        <w:spacing w:lineRule="auto" w:line="319" w:before="0" w:after="0"/>
        <w:jc w:val="both"/>
        <w:rPr/>
      </w:pPr>
      <w:r>
        <w:rPr>
          <w:rFonts w:ascii="Arial;sans-serif" w:hAnsi="Arial;sans-serif"/>
          <w:b w:val="false"/>
          <w:color w:val="1E3C73"/>
          <w:sz w:val="22"/>
        </w:rPr>
        <w:t>Gross margin for DUKORAL</w:t>
      </w:r>
      <w:r>
        <w:rPr>
          <w:rFonts w:ascii="Arial;sans-serif" w:hAnsi="Arial;sans-serif"/>
          <w:b w:val="false"/>
          <w:color w:val="1E3C73"/>
          <w:sz w:val="14"/>
        </w:rPr>
        <w:t>®</w:t>
      </w:r>
      <w:r>
        <w:rPr>
          <w:color w:val="1E3C73"/>
        </w:rPr>
        <w:t xml:space="preserve"> </w:t>
      </w:r>
      <w:r>
        <w:rPr>
          <w:rFonts w:ascii="Arial;sans-serif" w:hAnsi="Arial;sans-serif"/>
          <w:b w:val="false"/>
          <w:color w:val="1E3C73"/>
          <w:sz w:val="22"/>
        </w:rPr>
        <w:t>reached 33.6% compared to 52.2% in the first quarter of 2025, with the decline primarily attributable to batch write-offs. Gross margin for IXCHIQ</w:t>
      </w:r>
      <w:r>
        <w:rPr>
          <w:rFonts w:ascii="Arial;sans-serif" w:hAnsi="Arial;sans-serif"/>
          <w:b w:val="false"/>
          <w:color w:val="1E3C73"/>
          <w:sz w:val="14"/>
        </w:rPr>
        <w:t>®</w:t>
      </w:r>
      <w:r>
        <w:rPr>
          <w:color w:val="1E3C73"/>
        </w:rPr>
        <w:t xml:space="preserve"> </w:t>
      </w:r>
      <w:r>
        <w:rPr>
          <w:rFonts w:ascii="Arial;sans-serif" w:hAnsi="Arial;sans-serif"/>
          <w:b w:val="false"/>
          <w:color w:val="1E3C73"/>
          <w:sz w:val="22"/>
        </w:rPr>
        <w:t xml:space="preserve">was negative, mostly impacted by cancellation fees related to external manufacturing commitments following lower than anticipated sales. </w:t>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Additionally, COGS included €0.2 million attributable to the third-party distribution business, €5.0 million related to idle capacity and costs not allocated to products, and €0.3 million related to services. By comparison, total COGS in the first quarter of 2025 were €23.0 million, comprising €21.3 million of cost of goods and €1.8 million of cost of services.</w:t>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Research and development expenses remained stable at €15.2 million for the three months ended March 31, 2026.</w:t>
      </w:r>
    </w:p>
    <w:p>
      <w:pPr>
        <w:pStyle w:val="TextBody"/>
        <w:bidi w:val="0"/>
        <w:spacing w:lineRule="auto" w:line="319" w:before="0" w:after="0"/>
        <w:jc w:val="both"/>
        <w:rPr/>
      </w:pPr>
      <w:r>
        <w:rPr>
          <w:rFonts w:ascii="Arial;sans-serif" w:hAnsi="Arial;sans-serif"/>
          <w:b w:val="false"/>
          <w:color w:val="1E3C73"/>
          <w:sz w:val="22"/>
        </w:rPr>
        <w:t>Marketing and distribution expenses totaled €7.0 million in the first three months of 2026, down from €10.4 million in the first three months of 2025. The decrease primarily reflects lower advertising and promotional spending related to IXCHIQ</w:t>
      </w:r>
      <w:r>
        <w:rPr>
          <w:rFonts w:ascii="Arial;sans-serif" w:hAnsi="Arial;sans-serif"/>
          <w:b w:val="false"/>
          <w:color w:val="1E3C73"/>
          <w:sz w:val="14"/>
        </w:rPr>
        <w:t>®</w:t>
      </w:r>
      <w:r>
        <w:rPr>
          <w:color w:val="1E3C73"/>
        </w:rPr>
        <w:t xml:space="preserve"> </w:t>
      </w:r>
      <w:r>
        <w:rPr>
          <w:rFonts w:ascii="Arial;sans-serif" w:hAnsi="Arial;sans-serif"/>
          <w:b w:val="false"/>
          <w:color w:val="1E3C73"/>
          <w:sz w:val="22"/>
        </w:rPr>
        <w:t>as well as overall lower personnel costs and reduced warehousing and distribution expenses.</w:t>
      </w:r>
    </w:p>
    <w:p>
      <w:pPr>
        <w:pStyle w:val="TextBody"/>
        <w:bidi w:val="0"/>
        <w:spacing w:lineRule="auto" w:line="319"/>
        <w:jc w:val="both"/>
        <w:rPr>
          <w:rFonts w:ascii="Arial;sans-serif" w:hAnsi="Arial;sans-serif"/>
          <w:b w:val="false"/>
          <w:color w:val="1E3C73"/>
          <w:sz w:val="22"/>
        </w:rPr>
      </w:pPr>
      <w:r>
        <w:rPr>
          <w:rFonts w:ascii="Arial;sans-serif" w:hAnsi="Arial;sans-serif"/>
          <w:b w:val="false"/>
          <w:color w:val="1E3C73"/>
          <w:sz w:val="22"/>
        </w:rPr>
        <w:t>General and administrative expenses decreased to €8.2 million in the three months ended March 31, 2026, from €9.0 million in the same period of 2025. The reduction was primarily driven by lower personnel costs and savings in advisory and professional services.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67665"/>
                <wp:effectExtent l="0" t="0" r="0" b="0"/>
                <wp:wrapNone/>
                <wp:docPr id="7" name="Frame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Other income, net of other expenses, decreased to €1.9 million in the three months ended March 31, 2026, from €2.2 million in the three months ended March 31, 2025. Lower R&amp;D tax credits were partially offset by higher grant income.</w:t>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Valneva recorded an operating loss of €23.7 million for the three months ended March 31, 2026 compared with an operating loss of €6.0 million in the same period in 2025. The increase in operating loss was mainly driven by lower product sales in the first three months of 2026, compared to the prior-year period.</w:t>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Adjusted EBITDA loss (as defined below) was €18.2 million in the three months ended March 31, 2026, compared with an adjusted EBITDA loss of €0.6 million in the corresponding period of 2025.</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4179"/>
          <w:sz w:val="22"/>
        </w:rPr>
      </w:pPr>
      <w:r>
        <w:rPr>
          <w:rFonts w:ascii="Arial;sans-serif" w:hAnsi="Arial;sans-serif"/>
          <w:b/>
          <w:color w:val="1E4179"/>
          <w:sz w:val="22"/>
        </w:rPr>
        <w:t>Net Result</w:t>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In the three months ended March 31, 2026, Valneva generated a net loss of €32.1 million, compared to a net loss of €9.2 million in the first three months of 2025. The increase in net loss was primarily driven by lower sales in the first three months of 2026.</w:t>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Finance expense and currency effects resulted in a net finance expense of €7.6 million in the first three months of 2026, compared with a net finance expense of €1.8 million in the first three months of 2025. The increase was mainly attributable to unfavorable movements in the USD/EUR exchange rate, which led to a foreign currency loss of €3.0 million in the first quarter of 2026, compared with a foreign currency gain of €3.7 million in the first quarter of 2025.</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3C73"/>
          <w:sz w:val="22"/>
        </w:rPr>
      </w:pPr>
      <w:r>
        <w:rPr>
          <w:rFonts w:ascii="Arial;sans-serif" w:hAnsi="Arial;sans-serif"/>
          <w:b/>
          <w:color w:val="1E3C73"/>
          <w:sz w:val="22"/>
        </w:rPr>
        <w:t>Cash Flow and Liquidity</w:t>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Net cash used in operating activities amounted to €0.3 million in the three months ended March 31, 2026 compared to €8.1 million in the same period of 2025. The reduction in the first quarter of 2026 was primarily driven by lower net working capital requirements.</w:t>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Cash inflows from investing activities amounted to €0.3 million in the three months ended March 31, 2026 compared to cash outflows of €1.0 million in the three months ended March 31, 2025. Cash inflows in the first quarter of 2026 were largely attributable to proceeds from the investment of liquidity into money market funds. Cash outflows in the first quarter of 2025 were mainly related to the purchase of equipment, partially offset by interest proceeds.</w:t>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Net cash used in financing activities amounted to €4.7 million in the three months ended March 31, 2026 compared to a net cash outflow of €5.6 million in the same period in 2025. Cash outflows in both periods primarily reflected interest and lease payments.</w:t>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Cash and cash equivalents were €105.3 million as at March 31, 2026, compared to €109.7 million at December 31, 2025.</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3C73"/>
          <w:sz w:val="22"/>
        </w:rPr>
      </w:pPr>
      <w:r>
        <w:rPr>
          <w:rFonts w:ascii="Arial;sans-serif" w:hAnsi="Arial;sans-serif"/>
          <w:b/>
          <w:color w:val="1E3C73"/>
          <w:sz w:val="22"/>
        </w:rPr>
        <w:t>Non-IFRS Financial Measures</w:t>
      </w:r>
    </w:p>
    <w:p>
      <w:pPr>
        <w:pStyle w:val="TextBody"/>
        <w:bidi w:val="0"/>
        <w:spacing w:lineRule="auto" w:line="319"/>
        <w:jc w:val="both"/>
        <w:rPr>
          <w:rFonts w:ascii="Arial;sans-serif" w:hAnsi="Arial;sans-serif"/>
          <w:b w:val="false"/>
          <w:color w:val="1E3C73"/>
          <w:sz w:val="22"/>
        </w:rPr>
      </w:pPr>
      <w:r>
        <w:rPr>
          <w:rFonts w:ascii="Arial;sans-serif" w:hAnsi="Arial;sans-serif"/>
          <w:b w:val="false"/>
          <w:color w:val="1E3C73"/>
          <w:sz w:val="22"/>
        </w:rPr>
        <w:t xml:space="preserve">Management uses and presents IFRS results alongside the non-IFRS measure of Adjusted EBITDA to evaluate and communicate its performance. While non-IFRS measures should not be construed as alternatives to IFRS measures, management believes they provide useful additional insight into Valneva’s current performance, performance trends, and financial condition.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67665"/>
                <wp:effectExtent l="0" t="0" r="0" b="0"/>
                <wp:wrapNone/>
                <wp:docPr id="8" name="Frame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6</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 xml:space="preserve">Adjusted EBITDA is a common supplemental performance measure among investors and financial analysts. Management believes this measure provides additional analytical tools. Adjusted EBITDA is defined as earnings / (loss) for the period before income tax, finance (income)/expense, foreign exchange (gain)/loss, amortization, depreciation, and impairment.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 xml:space="preserve">A reconciliation of Adjusted EBITDA to net loss for the period, which is the most directly comparable IFRS measure, is set forth below: </w:t>
      </w:r>
    </w:p>
    <w:p>
      <w:pPr>
        <w:pStyle w:val="TextBody"/>
        <w:bidi w:val="0"/>
        <w:spacing w:before="0" w:after="0"/>
        <w:jc w:val="both"/>
        <w:rPr/>
      </w:pPr>
      <w:r>
        <w:rPr/>
      </w:r>
    </w:p>
    <w:tbl>
      <w:tblPr>
        <w:tblW w:w="6368" w:type="dxa"/>
        <w:jc w:val="left"/>
        <w:tblInd w:w="0" w:type="dxa"/>
        <w:tblLayout w:type="fixed"/>
        <w:tblCellMar>
          <w:top w:w="28" w:type="dxa"/>
          <w:left w:w="28" w:type="dxa"/>
          <w:bottom w:w="28" w:type="dxa"/>
          <w:right w:w="28" w:type="dxa"/>
        </w:tblCellMar>
      </w:tblPr>
      <w:tblGrid>
        <w:gridCol w:w="1097"/>
        <w:gridCol w:w="962"/>
        <w:gridCol w:w="971"/>
        <w:gridCol w:w="712"/>
        <w:gridCol w:w="473"/>
        <w:gridCol w:w="473"/>
        <w:gridCol w:w="489"/>
        <w:gridCol w:w="489"/>
        <w:gridCol w:w="702"/>
      </w:tblGrid>
      <w:tr>
        <w:trPr/>
        <w:tc>
          <w:tcPr>
            <w:tcW w:w="109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both"/>
              <w:rPr>
                <w:color w:val="002060"/>
              </w:rPr>
            </w:pPr>
            <w:r>
              <w:rPr>
                <w:color w:val="002060"/>
              </w:rPr>
              <w:t xml:space="preserve">€ </w:t>
            </w:r>
            <w:r>
              <w:rPr>
                <w:rFonts w:ascii="Arial;sans-serif" w:hAnsi="Arial;sans-serif"/>
                <w:b/>
                <w:color w:val="002060"/>
                <w:sz w:val="20"/>
              </w:rPr>
              <w:t>in million</w:t>
            </w:r>
          </w:p>
        </w:tc>
        <w:tc>
          <w:tcPr>
            <w:tcW w:w="3338" w:type="dxa"/>
            <w:gridSpan w:val="6"/>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rFonts w:ascii="Arial;sans-serif" w:hAnsi="Arial;sans-serif"/>
                <w:b/>
                <w:color w:val="002060"/>
                <w:sz w:val="20"/>
              </w:rPr>
            </w:pPr>
            <w:r>
              <w:rPr>
                <w:rFonts w:ascii="Arial;sans-serif" w:hAnsi="Arial;sans-serif"/>
                <w:b/>
                <w:color w:val="002060"/>
                <w:sz w:val="20"/>
              </w:rPr>
              <w:t>Three months ending March 31</w:t>
            </w:r>
          </w:p>
        </w:tc>
      </w:tr>
      <w:tr>
        <w:trPr/>
        <w:tc>
          <w:tcPr>
            <w:tcW w:w="30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both"/>
              <w:rPr>
                <w:rFonts w:ascii="Arial;sans-serif" w:hAnsi="Arial;sans-serif"/>
                <w:b w:val="false"/>
                <w:color w:val="00A0CD"/>
                <w:sz w:val="20"/>
              </w:rPr>
            </w:pPr>
            <w:r>
              <w:rPr>
                <w:rFonts w:ascii="Arial;sans-serif" w:hAnsi="Arial;sans-serif"/>
                <w:b w:val="false"/>
                <w:color w:val="00A0CD"/>
                <w:sz w:val="20"/>
              </w:rPr>
              <w:t>(consolidated per IFRS)</w:t>
            </w:r>
          </w:p>
        </w:tc>
        <w:tc>
          <w:tcPr>
            <w:tcW w:w="1658"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center"/>
              <w:rPr>
                <w:rFonts w:ascii="Arial;sans-serif" w:hAnsi="Arial;sans-serif"/>
                <w:b/>
                <w:color w:val="002060"/>
                <w:sz w:val="20"/>
              </w:rPr>
            </w:pPr>
            <w:r>
              <w:rPr>
                <w:rFonts w:ascii="Arial;sans-serif" w:hAnsi="Arial;sans-serif"/>
                <w:b/>
                <w:color w:val="002060"/>
                <w:sz w:val="20"/>
              </w:rPr>
              <w:t>2026</w:t>
            </w:r>
          </w:p>
        </w:tc>
        <w:tc>
          <w:tcPr>
            <w:tcW w:w="1680"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rFonts w:ascii="Arial;sans-serif" w:hAnsi="Arial;sans-serif"/>
                <w:b/>
                <w:color w:val="002060"/>
                <w:sz w:val="20"/>
              </w:rPr>
            </w:pPr>
            <w:r>
              <w:rPr>
                <w:rFonts w:ascii="Arial;sans-serif" w:hAnsi="Arial;sans-serif"/>
                <w:b/>
                <w:color w:val="002060"/>
                <w:sz w:val="20"/>
              </w:rPr>
              <w:t>2025</w:t>
            </w:r>
          </w:p>
        </w:tc>
      </w:tr>
      <w:tr>
        <w:trPr/>
        <w:tc>
          <w:tcPr>
            <w:tcW w:w="30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ind w:left="0" w:right="0" w:hanging="180"/>
              <w:jc w:val="both"/>
              <w:rPr>
                <w:rFonts w:ascii="Arial;sans-serif" w:hAnsi="Arial;sans-serif"/>
                <w:b w:val="false"/>
                <w:color w:val="002060"/>
                <w:sz w:val="20"/>
              </w:rPr>
            </w:pPr>
            <w:r>
              <w:rPr>
                <w:rFonts w:ascii="Arial;sans-serif" w:hAnsi="Arial;sans-serif"/>
                <w:b w:val="false"/>
                <w:color w:val="002060"/>
                <w:sz w:val="20"/>
              </w:rPr>
              <w:t>Profit/(Loss) for the period</w:t>
            </w:r>
          </w:p>
        </w:tc>
        <w:tc>
          <w:tcPr>
            <w:tcW w:w="1658"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center"/>
              <w:rPr>
                <w:color w:val="002060"/>
              </w:rPr>
            </w:pPr>
            <w:r>
              <w:rPr>
                <w:color w:val="002060"/>
              </w:rPr>
              <w:t>               </w:t>
            </w:r>
            <w:r>
              <w:rPr>
                <w:rFonts w:ascii="Arial;sans-serif" w:hAnsi="Arial;sans-serif"/>
                <w:b w:val="false"/>
                <w:color w:val="002060"/>
                <w:sz w:val="20"/>
              </w:rPr>
              <w:t>(32.1)</w:t>
            </w:r>
          </w:p>
        </w:tc>
        <w:tc>
          <w:tcPr>
            <w:tcW w:w="1680"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color w:val="002060"/>
              </w:rPr>
            </w:pPr>
            <w:r>
              <w:rPr>
                <w:color w:val="002060"/>
              </w:rPr>
              <w:t>                </w:t>
            </w:r>
            <w:r>
              <w:rPr>
                <w:rFonts w:ascii="Arial;sans-serif" w:hAnsi="Arial;sans-serif"/>
                <w:b w:val="false"/>
                <w:color w:val="002060"/>
                <w:sz w:val="20"/>
              </w:rPr>
              <w:t>(9.2)</w:t>
            </w:r>
          </w:p>
        </w:tc>
      </w:tr>
      <w:tr>
        <w:trPr/>
        <w:tc>
          <w:tcPr>
            <w:tcW w:w="30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ind w:left="0" w:right="0" w:hanging="180"/>
              <w:jc w:val="both"/>
              <w:rPr>
                <w:rFonts w:ascii="Arial;sans-serif" w:hAnsi="Arial;sans-serif"/>
                <w:b w:val="false"/>
                <w:color w:val="002060"/>
                <w:sz w:val="20"/>
              </w:rPr>
            </w:pPr>
            <w:r>
              <w:rPr>
                <w:rFonts w:ascii="Arial;sans-serif" w:hAnsi="Arial;sans-serif"/>
                <w:b w:val="false"/>
                <w:color w:val="002060"/>
                <w:sz w:val="20"/>
              </w:rPr>
              <w:t>Add:</w:t>
            </w:r>
          </w:p>
        </w:tc>
        <w:tc>
          <w:tcPr>
            <w:tcW w:w="1658" w:type="dxa"/>
            <w:gridSpan w:val="3"/>
            <w:tcBorders>
              <w:top w:val="single" w:sz="4" w:space="0" w:color="00B0F0"/>
              <w:left w:val="single" w:sz="4" w:space="0" w:color="00B0F0"/>
            </w:tcBorders>
            <w:tcMar>
              <w:bottom w:w="0" w:type="dxa"/>
              <w:right w:w="0" w:type="dxa"/>
            </w:tcMar>
            <w:vAlign w:val="center"/>
          </w:tcPr>
          <w:p>
            <w:pPr>
              <w:pStyle w:val="TableContents"/>
              <w:bidi w:val="0"/>
              <w:spacing w:before="48" w:after="48"/>
              <w:jc w:val="right"/>
              <w:rPr/>
            </w:pPr>
            <w:r>
              <w:rPr/>
            </w:r>
          </w:p>
        </w:tc>
        <w:tc>
          <w:tcPr>
            <w:tcW w:w="1680" w:type="dxa"/>
            <w:gridSpan w:val="3"/>
            <w:tcBorders>
              <w:top w:val="single" w:sz="4" w:space="0" w:color="00B0F0"/>
              <w:left w:val="single" w:sz="4" w:space="0" w:color="00B0F0"/>
              <w:right w:val="single" w:sz="4" w:space="0" w:color="00B0F0"/>
            </w:tcBorders>
            <w:tcMar>
              <w:bottom w:w="0" w:type="dxa"/>
            </w:tcMar>
            <w:vAlign w:val="center"/>
          </w:tcPr>
          <w:p>
            <w:pPr>
              <w:pStyle w:val="TableContents"/>
              <w:bidi w:val="0"/>
              <w:spacing w:before="48" w:after="48"/>
              <w:jc w:val="right"/>
              <w:rPr/>
            </w:pPr>
            <w:r>
              <w:rPr/>
            </w:r>
          </w:p>
        </w:tc>
      </w:tr>
      <w:tr>
        <w:trPr/>
        <w:tc>
          <w:tcPr>
            <w:tcW w:w="30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ind w:left="0" w:right="0" w:hanging="180"/>
              <w:jc w:val="both"/>
              <w:rPr>
                <w:rFonts w:ascii="Arial;sans-serif" w:hAnsi="Arial;sans-serif"/>
                <w:b w:val="false"/>
                <w:color w:val="002060"/>
                <w:sz w:val="20"/>
              </w:rPr>
            </w:pPr>
            <w:r>
              <w:rPr>
                <w:rFonts w:ascii="Arial;sans-serif" w:hAnsi="Arial;sans-serif"/>
                <w:b w:val="false"/>
                <w:color w:val="002060"/>
                <w:sz w:val="20"/>
              </w:rPr>
              <w:t>Income tax expense</w:t>
            </w:r>
          </w:p>
        </w:tc>
        <w:tc>
          <w:tcPr>
            <w:tcW w:w="1658"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center"/>
              <w:rPr>
                <w:color w:val="002060"/>
              </w:rPr>
            </w:pPr>
            <w:r>
              <w:rPr>
                <w:color w:val="002060"/>
              </w:rPr>
              <w:t>                </w:t>
            </w:r>
            <w:r>
              <w:rPr>
                <w:rFonts w:ascii="Arial;sans-serif" w:hAnsi="Arial;sans-serif"/>
                <w:b w:val="false"/>
                <w:color w:val="002060"/>
                <w:sz w:val="20"/>
              </w:rPr>
              <w:t>0.8</w:t>
            </w:r>
          </w:p>
        </w:tc>
        <w:tc>
          <w:tcPr>
            <w:tcW w:w="1680"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color w:val="002060"/>
              </w:rPr>
            </w:pPr>
            <w:r>
              <w:rPr>
                <w:color w:val="002060"/>
              </w:rPr>
              <w:t>                 </w:t>
            </w:r>
            <w:r>
              <w:rPr>
                <w:rFonts w:ascii="Arial;sans-serif" w:hAnsi="Arial;sans-serif"/>
                <w:b w:val="false"/>
                <w:color w:val="002060"/>
                <w:sz w:val="20"/>
              </w:rPr>
              <w:t>1.5</w:t>
            </w:r>
          </w:p>
        </w:tc>
      </w:tr>
      <w:tr>
        <w:trPr/>
        <w:tc>
          <w:tcPr>
            <w:tcW w:w="30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ind w:left="0" w:right="0" w:hanging="180"/>
              <w:jc w:val="both"/>
              <w:rPr>
                <w:rFonts w:ascii="Arial;sans-serif" w:hAnsi="Arial;sans-serif"/>
                <w:b w:val="false"/>
                <w:color w:val="002060"/>
                <w:sz w:val="20"/>
              </w:rPr>
            </w:pPr>
            <w:r>
              <w:rPr>
                <w:rFonts w:ascii="Arial;sans-serif" w:hAnsi="Arial;sans-serif"/>
                <w:b w:val="false"/>
                <w:color w:val="002060"/>
                <w:sz w:val="20"/>
              </w:rPr>
              <w:t>Total Finance income</w:t>
            </w:r>
          </w:p>
        </w:tc>
        <w:tc>
          <w:tcPr>
            <w:tcW w:w="1658"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center"/>
              <w:rPr>
                <w:color w:val="002060"/>
              </w:rPr>
            </w:pPr>
            <w:r>
              <w:rPr>
                <w:color w:val="002060"/>
              </w:rPr>
              <w:t>               </w:t>
            </w:r>
            <w:r>
              <w:rPr>
                <w:rFonts w:ascii="Arial;sans-serif" w:hAnsi="Arial;sans-serif"/>
                <w:b w:val="false"/>
                <w:color w:val="002060"/>
                <w:sz w:val="20"/>
              </w:rPr>
              <w:t>(0.5)</w:t>
            </w:r>
          </w:p>
        </w:tc>
        <w:tc>
          <w:tcPr>
            <w:tcW w:w="1680"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left"/>
              <w:rPr>
                <w:color w:val="002060"/>
              </w:rPr>
            </w:pPr>
            <w:r>
              <w:rPr>
                <w:color w:val="002060"/>
              </w:rPr>
              <w:t>                   </w:t>
            </w:r>
            <w:r>
              <w:rPr>
                <w:rFonts w:ascii="Arial;sans-serif" w:hAnsi="Arial;sans-serif"/>
                <w:b w:val="false"/>
                <w:color w:val="002060"/>
                <w:sz w:val="20"/>
              </w:rPr>
              <w:t>(0.5)</w:t>
            </w:r>
          </w:p>
        </w:tc>
      </w:tr>
      <w:tr>
        <w:trPr/>
        <w:tc>
          <w:tcPr>
            <w:tcW w:w="30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ind w:left="0" w:right="0" w:hanging="180"/>
              <w:jc w:val="both"/>
              <w:rPr>
                <w:rFonts w:ascii="Arial;sans-serif" w:hAnsi="Arial;sans-serif"/>
                <w:b w:val="false"/>
                <w:color w:val="002060"/>
                <w:sz w:val="20"/>
              </w:rPr>
            </w:pPr>
            <w:r>
              <w:rPr>
                <w:rFonts w:ascii="Arial;sans-serif" w:hAnsi="Arial;sans-serif"/>
                <w:b w:val="false"/>
                <w:color w:val="002060"/>
                <w:sz w:val="20"/>
              </w:rPr>
              <w:t>Total Finance expense</w:t>
            </w:r>
          </w:p>
        </w:tc>
        <w:tc>
          <w:tcPr>
            <w:tcW w:w="1658"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center"/>
              <w:rPr>
                <w:color w:val="002060"/>
              </w:rPr>
            </w:pPr>
            <w:r>
              <w:rPr>
                <w:color w:val="002060"/>
              </w:rPr>
              <w:t>                </w:t>
            </w:r>
            <w:r>
              <w:rPr>
                <w:rFonts w:ascii="Arial;sans-serif" w:hAnsi="Arial;sans-serif"/>
                <w:b w:val="false"/>
                <w:color w:val="002060"/>
                <w:sz w:val="20"/>
              </w:rPr>
              <w:t>5.1</w:t>
            </w:r>
          </w:p>
        </w:tc>
        <w:tc>
          <w:tcPr>
            <w:tcW w:w="1680"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color w:val="002060"/>
              </w:rPr>
            </w:pPr>
            <w:r>
              <w:rPr>
                <w:color w:val="002060"/>
              </w:rPr>
              <w:t>                  </w:t>
            </w:r>
            <w:r>
              <w:rPr>
                <w:rFonts w:ascii="Arial;sans-serif" w:hAnsi="Arial;sans-serif"/>
                <w:b w:val="false"/>
                <w:color w:val="002060"/>
                <w:sz w:val="20"/>
              </w:rPr>
              <w:t>6.0</w:t>
            </w:r>
          </w:p>
        </w:tc>
      </w:tr>
      <w:tr>
        <w:trPr/>
        <w:tc>
          <w:tcPr>
            <w:tcW w:w="30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ind w:left="0" w:right="0" w:hanging="180"/>
              <w:jc w:val="both"/>
              <w:rPr>
                <w:rFonts w:ascii="Arial;sans-serif" w:hAnsi="Arial;sans-serif"/>
                <w:b w:val="false"/>
                <w:color w:val="002060"/>
                <w:sz w:val="20"/>
              </w:rPr>
            </w:pPr>
            <w:r>
              <w:rPr>
                <w:rFonts w:ascii="Arial;sans-serif" w:hAnsi="Arial;sans-serif"/>
                <w:b w:val="false"/>
                <w:color w:val="002060"/>
                <w:sz w:val="20"/>
              </w:rPr>
              <w:t>Foreign currency (gain)/loss – net</w:t>
            </w:r>
          </w:p>
        </w:tc>
        <w:tc>
          <w:tcPr>
            <w:tcW w:w="1658"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center"/>
              <w:rPr>
                <w:color w:val="002060"/>
              </w:rPr>
            </w:pPr>
            <w:r>
              <w:rPr>
                <w:color w:val="002060"/>
              </w:rPr>
              <w:t>                </w:t>
            </w:r>
            <w:r>
              <w:rPr>
                <w:rFonts w:ascii="Arial;sans-serif" w:hAnsi="Arial;sans-serif"/>
                <w:b w:val="false"/>
                <w:color w:val="002060"/>
                <w:sz w:val="20"/>
              </w:rPr>
              <w:t>3.0</w:t>
            </w:r>
          </w:p>
        </w:tc>
        <w:tc>
          <w:tcPr>
            <w:tcW w:w="1680"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color w:val="002060"/>
              </w:rPr>
            </w:pPr>
            <w:r>
              <w:rPr>
                <w:color w:val="002060"/>
              </w:rPr>
              <w:t>                  </w:t>
            </w:r>
            <w:r>
              <w:rPr>
                <w:rFonts w:ascii="Arial;sans-serif" w:hAnsi="Arial;sans-serif"/>
                <w:b w:val="false"/>
                <w:color w:val="002060"/>
                <w:sz w:val="20"/>
              </w:rPr>
              <w:t>(3.7)</w:t>
            </w:r>
          </w:p>
        </w:tc>
      </w:tr>
      <w:tr>
        <w:trPr/>
        <w:tc>
          <w:tcPr>
            <w:tcW w:w="30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ind w:left="0" w:right="0" w:hanging="180"/>
              <w:jc w:val="both"/>
              <w:rPr>
                <w:rFonts w:ascii="Arial;sans-serif" w:hAnsi="Arial;sans-serif"/>
                <w:b w:val="false"/>
                <w:color w:val="002060"/>
                <w:sz w:val="20"/>
              </w:rPr>
            </w:pPr>
            <w:r>
              <w:rPr>
                <w:rFonts w:ascii="Arial;sans-serif" w:hAnsi="Arial;sans-serif"/>
                <w:b w:val="false"/>
                <w:color w:val="002060"/>
                <w:sz w:val="20"/>
              </w:rPr>
              <w:t>Amortization</w:t>
            </w:r>
          </w:p>
        </w:tc>
        <w:tc>
          <w:tcPr>
            <w:tcW w:w="1658"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left"/>
              <w:rPr>
                <w:color w:val="002060"/>
              </w:rPr>
            </w:pPr>
            <w:r>
              <w:rPr>
                <w:color w:val="002060"/>
              </w:rPr>
              <w:t>                  </w:t>
            </w:r>
            <w:r>
              <w:rPr>
                <w:rFonts w:ascii="Arial;sans-serif" w:hAnsi="Arial;sans-serif"/>
                <w:b w:val="false"/>
                <w:color w:val="002060"/>
                <w:sz w:val="20"/>
              </w:rPr>
              <w:t>1.2</w:t>
            </w:r>
          </w:p>
        </w:tc>
        <w:tc>
          <w:tcPr>
            <w:tcW w:w="1680"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color w:val="002060"/>
              </w:rPr>
            </w:pPr>
            <w:r>
              <w:rPr>
                <w:color w:val="002060"/>
              </w:rPr>
              <w:t>                  </w:t>
            </w:r>
            <w:r>
              <w:rPr>
                <w:rFonts w:ascii="Arial;sans-serif" w:hAnsi="Arial;sans-serif"/>
                <w:b w:val="false"/>
                <w:color w:val="002060"/>
                <w:sz w:val="20"/>
              </w:rPr>
              <w:t>1.2</w:t>
            </w:r>
          </w:p>
        </w:tc>
      </w:tr>
      <w:tr>
        <w:trPr/>
        <w:tc>
          <w:tcPr>
            <w:tcW w:w="30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ind w:left="0" w:right="0" w:hanging="180"/>
              <w:jc w:val="both"/>
              <w:rPr>
                <w:rFonts w:ascii="Arial;sans-serif" w:hAnsi="Arial;sans-serif"/>
                <w:b w:val="false"/>
                <w:color w:val="002060"/>
                <w:sz w:val="20"/>
              </w:rPr>
            </w:pPr>
            <w:r>
              <w:rPr>
                <w:rFonts w:ascii="Arial;sans-serif" w:hAnsi="Arial;sans-serif"/>
                <w:b w:val="false"/>
                <w:color w:val="002060"/>
                <w:sz w:val="20"/>
              </w:rPr>
              <w:t>Depreciation</w:t>
            </w:r>
          </w:p>
        </w:tc>
        <w:tc>
          <w:tcPr>
            <w:tcW w:w="1658"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8" w:after="48"/>
              <w:jc w:val="center"/>
              <w:rPr>
                <w:color w:val="002060"/>
              </w:rPr>
            </w:pPr>
            <w:r>
              <w:rPr>
                <w:color w:val="002060"/>
              </w:rPr>
              <w:t>                </w:t>
            </w:r>
            <w:r>
              <w:rPr>
                <w:rFonts w:ascii="Arial;sans-serif" w:hAnsi="Arial;sans-serif"/>
                <w:b w:val="false"/>
                <w:color w:val="002060"/>
                <w:sz w:val="20"/>
              </w:rPr>
              <w:t>4.2</w:t>
            </w:r>
          </w:p>
        </w:tc>
        <w:tc>
          <w:tcPr>
            <w:tcW w:w="1680"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tLeast" w:line="200" w:before="48" w:after="48"/>
              <w:jc w:val="center"/>
              <w:rPr>
                <w:color w:val="002060"/>
              </w:rPr>
            </w:pPr>
            <w:r>
              <w:rPr>
                <w:color w:val="002060"/>
              </w:rPr>
              <w:t>                  </w:t>
            </w:r>
            <w:r>
              <w:rPr>
                <w:rFonts w:ascii="Arial;sans-serif" w:hAnsi="Arial;sans-serif"/>
                <w:b w:val="false"/>
                <w:color w:val="002060"/>
                <w:sz w:val="20"/>
              </w:rPr>
              <w:t>4.2</w:t>
            </w:r>
          </w:p>
        </w:tc>
      </w:tr>
      <w:tr>
        <w:trPr/>
        <w:tc>
          <w:tcPr>
            <w:tcW w:w="3030" w:type="dxa"/>
            <w:gridSpan w:val="3"/>
            <w:tcBorders>
              <w:top w:val="single" w:sz="4" w:space="0" w:color="00B0F0"/>
              <w:left w:val="single" w:sz="4" w:space="0" w:color="00B0F0"/>
              <w:bottom w:val="single" w:sz="4" w:space="0" w:color="00B0F0"/>
            </w:tcBorders>
            <w:tcMar>
              <w:top w:w="30" w:type="dxa"/>
              <w:bottom w:w="30" w:type="dxa"/>
              <w:right w:w="0" w:type="dxa"/>
            </w:tcMar>
            <w:vAlign w:val="center"/>
          </w:tcPr>
          <w:p>
            <w:pPr>
              <w:pStyle w:val="TableContents"/>
              <w:bidi w:val="0"/>
              <w:spacing w:lineRule="atLeast" w:line="200" w:before="48" w:after="48"/>
              <w:ind w:left="0" w:right="0" w:hanging="180"/>
              <w:jc w:val="both"/>
              <w:rPr>
                <w:rFonts w:ascii="Arial;sans-serif" w:hAnsi="Arial;sans-serif"/>
                <w:b/>
                <w:color w:val="002060"/>
                <w:sz w:val="20"/>
              </w:rPr>
            </w:pPr>
            <w:r>
              <w:rPr>
                <w:rFonts w:ascii="Arial;sans-serif" w:hAnsi="Arial;sans-serif"/>
                <w:b/>
                <w:color w:val="002060"/>
                <w:sz w:val="20"/>
              </w:rPr>
              <w:t>Adjusted EBITDA</w:t>
            </w:r>
          </w:p>
        </w:tc>
        <w:tc>
          <w:tcPr>
            <w:tcW w:w="1658" w:type="dxa"/>
            <w:gridSpan w:val="3"/>
            <w:tcBorders>
              <w:top w:val="single" w:sz="4" w:space="0" w:color="00B0F0"/>
              <w:left w:val="single" w:sz="4" w:space="0" w:color="00B0F0"/>
              <w:bottom w:val="single" w:sz="4" w:space="0" w:color="00B0F0"/>
            </w:tcBorders>
            <w:tcMar>
              <w:top w:w="30" w:type="dxa"/>
              <w:bottom w:w="30" w:type="dxa"/>
              <w:right w:w="0" w:type="dxa"/>
            </w:tcMar>
            <w:vAlign w:val="center"/>
          </w:tcPr>
          <w:p>
            <w:pPr>
              <w:pStyle w:val="TableContents"/>
              <w:bidi w:val="0"/>
              <w:spacing w:lineRule="atLeast" w:line="200" w:before="48" w:after="48"/>
              <w:jc w:val="right"/>
              <w:rPr>
                <w:color w:val="002060"/>
              </w:rPr>
            </w:pPr>
            <w:r>
              <w:rPr>
                <w:color w:val="002060"/>
              </w:rPr>
              <w:t> </w:t>
            </w:r>
            <w:r>
              <w:rPr>
                <w:rFonts w:ascii="Arial;sans-serif" w:hAnsi="Arial;sans-serif"/>
                <w:b/>
                <w:color w:val="002060"/>
                <w:sz w:val="20"/>
              </w:rPr>
              <w:t>(18.2)</w:t>
            </w:r>
          </w:p>
        </w:tc>
        <w:tc>
          <w:tcPr>
            <w:tcW w:w="1680" w:type="dxa"/>
            <w:gridSpan w:val="3"/>
            <w:tcBorders>
              <w:top w:val="single" w:sz="4" w:space="0" w:color="00B0F0"/>
              <w:left w:val="single" w:sz="4" w:space="0" w:color="00B0F0"/>
              <w:bottom w:val="single" w:sz="4" w:space="0" w:color="00B0F0"/>
              <w:right w:val="single" w:sz="4" w:space="0" w:color="00B0F0"/>
            </w:tcBorders>
            <w:tcMar>
              <w:top w:w="30" w:type="dxa"/>
              <w:bottom w:w="30" w:type="dxa"/>
            </w:tcMar>
            <w:vAlign w:val="center"/>
          </w:tcPr>
          <w:p>
            <w:pPr>
              <w:pStyle w:val="TableContents"/>
              <w:bidi w:val="0"/>
              <w:spacing w:lineRule="atLeast" w:line="200" w:before="48" w:after="48"/>
              <w:jc w:val="center"/>
              <w:rPr>
                <w:color w:val="002060"/>
              </w:rPr>
            </w:pPr>
            <w:r>
              <w:rPr>
                <w:color w:val="002060"/>
              </w:rPr>
              <w:t>                  </w:t>
            </w:r>
            <w:r>
              <w:rPr>
                <w:rFonts w:ascii="Arial;sans-serif" w:hAnsi="Arial;sans-serif"/>
                <w:b/>
                <w:color w:val="002060"/>
                <w:sz w:val="20"/>
              </w:rPr>
              <w:t>(0.6)</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3C73"/>
          <w:sz w:val="22"/>
        </w:rPr>
      </w:pPr>
      <w:r>
        <w:rPr>
          <w:rFonts w:ascii="Arial;sans-serif" w:hAnsi="Arial;sans-serif"/>
          <w:b/>
          <w:color w:val="1E3C73"/>
          <w:sz w:val="22"/>
        </w:rPr>
        <w:t>Product sales at constant exchange rates:</w:t>
      </w:r>
    </w:p>
    <w:p>
      <w:pPr>
        <w:pStyle w:val="TextBody"/>
        <w:bidi w:val="0"/>
        <w:spacing w:lineRule="auto" w:line="319" w:before="0" w:after="0"/>
        <w:jc w:val="both"/>
        <w:rPr/>
      </w:pPr>
      <w:r>
        <w:rPr>
          <w:rFonts w:ascii="Arial;sans-serif" w:hAnsi="Arial;sans-serif"/>
          <w:b w:val="false"/>
          <w:color w:val="1E3C73"/>
          <w:sz w:val="22"/>
        </w:rPr>
        <w:t>References</w:t>
      </w:r>
      <w:r>
        <w:rPr>
          <w:color w:val="002060"/>
        </w:rPr>
        <w:t xml:space="preserve"> </w:t>
      </w:r>
      <w:r>
        <w:rPr>
          <w:rFonts w:ascii="Arial;sans-serif" w:hAnsi="Arial;sans-serif"/>
          <w:b w:val="false"/>
          <w:color w:val="002060"/>
          <w:sz w:val="22"/>
        </w:rPr>
        <w:t xml:space="preserve">to changes in net sales </w:t>
      </w:r>
      <w:r>
        <w:rPr>
          <w:rFonts w:ascii="Arial;sans-serif" w:hAnsi="Arial;sans-serif"/>
          <w:b w:val="false"/>
          <w:i/>
          <w:color w:val="002060"/>
          <w:sz w:val="22"/>
        </w:rPr>
        <w:t>at constant exchange rates (CER)</w:t>
      </w:r>
      <w:r>
        <w:rPr>
          <w:color w:val="002060"/>
        </w:rPr>
        <w:t xml:space="preserve"> </w:t>
      </w:r>
      <w:r>
        <w:rPr>
          <w:rFonts w:ascii="Arial;sans-serif" w:hAnsi="Arial;sans-serif"/>
          <w:b w:val="false"/>
          <w:color w:val="002060"/>
          <w:sz w:val="22"/>
        </w:rPr>
        <w:t>indicate that currency fluctuation effects have been removed. Net sales for the period in question are recalculated using the exchange rates applied in the prior period, as detailed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67"/>
        <w:gridCol w:w="2253"/>
        <w:gridCol w:w="2255"/>
        <w:gridCol w:w="495"/>
        <w:gridCol w:w="482"/>
        <w:gridCol w:w="482"/>
        <w:gridCol w:w="493"/>
        <w:gridCol w:w="482"/>
        <w:gridCol w:w="696"/>
      </w:tblGrid>
      <w:tr>
        <w:trPr/>
        <w:tc>
          <w:tcPr>
            <w:tcW w:w="2567"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0" w:after="120"/>
              <w:jc w:val="left"/>
              <w:rPr>
                <w:color w:val="1E4179"/>
              </w:rPr>
            </w:pPr>
            <w:r>
              <w:rPr>
                <w:color w:val="1E4179"/>
              </w:rPr>
              <w:t xml:space="preserve">€ </w:t>
            </w:r>
            <w:r>
              <w:rPr>
                <w:rFonts w:ascii="Arial;sans-serif" w:hAnsi="Arial;sans-serif"/>
                <w:b/>
                <w:color w:val="1E4179"/>
                <w:sz w:val="22"/>
              </w:rPr>
              <w:t>in million</w:t>
            </w:r>
          </w:p>
        </w:tc>
        <w:tc>
          <w:tcPr>
            <w:tcW w:w="3130" w:type="dxa"/>
            <w:gridSpan w:val="6"/>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19" w:before="0" w:after="120"/>
              <w:jc w:val="center"/>
              <w:rPr>
                <w:rFonts w:ascii="Arial;sans-serif" w:hAnsi="Arial;sans-serif"/>
                <w:b/>
                <w:color w:val="002060"/>
                <w:sz w:val="22"/>
              </w:rPr>
            </w:pPr>
            <w:r>
              <w:rPr>
                <w:rFonts w:ascii="Arial;sans-serif" w:hAnsi="Arial;sans-serif"/>
                <w:b/>
                <w:color w:val="002060"/>
                <w:sz w:val="22"/>
              </w:rPr>
              <w:t>Three months ended March 31</w:t>
            </w:r>
          </w:p>
        </w:tc>
      </w:tr>
      <w:tr>
        <w:trPr/>
        <w:tc>
          <w:tcPr>
            <w:tcW w:w="707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2060"/>
                <w:sz w:val="22"/>
              </w:rPr>
            </w:pPr>
            <w:r>
              <w:rPr>
                <w:rFonts w:ascii="Arial;sans-serif" w:hAnsi="Arial;sans-serif"/>
                <w:b w:val="false"/>
                <w:color w:val="002060"/>
                <w:sz w:val="22"/>
              </w:rPr>
              <w:t>(unaudited results, consolidated per IFRS)</w:t>
            </w:r>
          </w:p>
        </w:tc>
        <w:tc>
          <w:tcPr>
            <w:tcW w:w="1459"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1E4179"/>
                <w:sz w:val="22"/>
                <w:u w:val="single"/>
              </w:rPr>
            </w:pPr>
            <w:r>
              <w:rPr>
                <w:rFonts w:ascii="Arial;sans-serif" w:hAnsi="Arial;sans-serif"/>
                <w:b/>
                <w:color w:val="1E4179"/>
                <w:sz w:val="22"/>
                <w:u w:val="single"/>
              </w:rPr>
              <w:t>2026</w:t>
            </w:r>
          </w:p>
        </w:tc>
        <w:tc>
          <w:tcPr>
            <w:tcW w:w="1671"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240" w:before="0" w:after="283"/>
              <w:jc w:val="center"/>
              <w:rPr>
                <w:rFonts w:ascii="Arial;sans-serif" w:hAnsi="Arial;sans-serif"/>
                <w:b/>
                <w:color w:val="1E4179"/>
                <w:sz w:val="22"/>
                <w:u w:val="single"/>
              </w:rPr>
            </w:pPr>
            <w:r>
              <w:rPr>
                <w:rFonts w:ascii="Arial;sans-serif" w:hAnsi="Arial;sans-serif"/>
                <w:b/>
                <w:color w:val="1E4179"/>
                <w:sz w:val="22"/>
                <w:u w:val="single"/>
              </w:rPr>
              <w:t>2025</w:t>
            </w:r>
          </w:p>
        </w:tc>
      </w:tr>
      <w:tr>
        <w:trPr/>
        <w:tc>
          <w:tcPr>
            <w:tcW w:w="707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2060"/>
                <w:sz w:val="22"/>
              </w:rPr>
            </w:pPr>
            <w:r>
              <w:rPr>
                <w:rFonts w:ascii="Arial;sans-serif" w:hAnsi="Arial;sans-serif"/>
                <w:b w:val="false"/>
                <w:color w:val="002060"/>
                <w:sz w:val="22"/>
              </w:rPr>
              <w:t>Product sales</w:t>
            </w:r>
          </w:p>
        </w:tc>
        <w:tc>
          <w:tcPr>
            <w:tcW w:w="1459"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1E4179"/>
                <w:sz w:val="22"/>
              </w:rPr>
            </w:pPr>
            <w:r>
              <w:rPr>
                <w:rFonts w:ascii="Arial;sans-serif" w:hAnsi="Arial;sans-serif"/>
                <w:b w:val="false"/>
                <w:color w:val="1E4179"/>
                <w:sz w:val="22"/>
              </w:rPr>
              <w:t>30.5</w:t>
            </w:r>
          </w:p>
        </w:tc>
        <w:tc>
          <w:tcPr>
            <w:tcW w:w="1671"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1E4179"/>
                <w:sz w:val="22"/>
              </w:rPr>
            </w:pPr>
            <w:r>
              <w:rPr>
                <w:rFonts w:ascii="Arial;sans-serif" w:hAnsi="Arial;sans-serif"/>
                <w:b w:val="false"/>
                <w:color w:val="1E4179"/>
                <w:sz w:val="22"/>
              </w:rPr>
              <w:t>48.6</w:t>
            </w:r>
          </w:p>
        </w:tc>
      </w:tr>
      <w:tr>
        <w:trPr/>
        <w:tc>
          <w:tcPr>
            <w:tcW w:w="707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2060"/>
                <w:sz w:val="22"/>
              </w:rPr>
            </w:pPr>
            <w:r>
              <w:rPr>
                <w:rFonts w:ascii="Arial;sans-serif" w:hAnsi="Arial;sans-serif"/>
                <w:b w:val="false"/>
                <w:color w:val="002060"/>
                <w:sz w:val="22"/>
              </w:rPr>
              <w:t>Third-party product sales</w:t>
            </w:r>
          </w:p>
        </w:tc>
        <w:tc>
          <w:tcPr>
            <w:tcW w:w="1459"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1E4179"/>
                <w:sz w:val="22"/>
              </w:rPr>
            </w:pPr>
            <w:r>
              <w:rPr>
                <w:rFonts w:ascii="Arial;sans-serif" w:hAnsi="Arial;sans-serif"/>
                <w:b w:val="false"/>
                <w:color w:val="1E4179"/>
                <w:sz w:val="22"/>
              </w:rPr>
              <w:t>0.1</w:t>
            </w:r>
          </w:p>
        </w:tc>
        <w:tc>
          <w:tcPr>
            <w:tcW w:w="1671"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1E4179"/>
                <w:sz w:val="22"/>
              </w:rPr>
            </w:pPr>
            <w:r>
              <w:rPr>
                <w:rFonts w:ascii="Arial;sans-serif" w:hAnsi="Arial;sans-serif"/>
                <w:b w:val="false"/>
                <w:color w:val="1E4179"/>
                <w:sz w:val="22"/>
              </w:rPr>
              <w:t>5.8</w:t>
            </w:r>
          </w:p>
        </w:tc>
      </w:tr>
      <w:tr>
        <w:trPr/>
        <w:tc>
          <w:tcPr>
            <w:tcW w:w="707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2060"/>
                <w:sz w:val="22"/>
              </w:rPr>
            </w:pPr>
            <w:r>
              <w:rPr>
                <w:rFonts w:ascii="Arial;sans-serif" w:hAnsi="Arial;sans-serif"/>
                <w:b w:val="false"/>
                <w:color w:val="002060"/>
                <w:sz w:val="22"/>
              </w:rPr>
              <w:t>Product sales excluding third-party sales</w:t>
            </w:r>
          </w:p>
        </w:tc>
        <w:tc>
          <w:tcPr>
            <w:tcW w:w="1459"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1E4179"/>
                <w:sz w:val="22"/>
              </w:rPr>
            </w:pPr>
            <w:r>
              <w:rPr>
                <w:rFonts w:ascii="Arial;sans-serif" w:hAnsi="Arial;sans-serif"/>
                <w:b w:val="false"/>
                <w:color w:val="1E4179"/>
                <w:sz w:val="22"/>
              </w:rPr>
              <w:t>30.4</w:t>
            </w:r>
          </w:p>
        </w:tc>
        <w:tc>
          <w:tcPr>
            <w:tcW w:w="1671"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1E4179"/>
                <w:sz w:val="22"/>
              </w:rPr>
            </w:pPr>
            <w:r>
              <w:rPr>
                <w:rFonts w:ascii="Arial;sans-serif" w:hAnsi="Arial;sans-serif"/>
                <w:b w:val="false"/>
                <w:color w:val="1E4179"/>
                <w:sz w:val="22"/>
              </w:rPr>
              <w:t>42.8</w:t>
            </w:r>
          </w:p>
        </w:tc>
      </w:tr>
      <w:tr>
        <w:trPr/>
        <w:tc>
          <w:tcPr>
            <w:tcW w:w="707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2060"/>
                <w:sz w:val="22"/>
              </w:rPr>
            </w:pPr>
            <w:r>
              <w:rPr>
                <w:rFonts w:ascii="Arial;sans-serif" w:hAnsi="Arial;sans-serif"/>
                <w:b w:val="false"/>
                <w:color w:val="002060"/>
                <w:sz w:val="22"/>
              </w:rPr>
              <w:t>Effect of exchange rates (excluding third-party sales)</w:t>
            </w:r>
          </w:p>
        </w:tc>
        <w:tc>
          <w:tcPr>
            <w:tcW w:w="1459"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1E4179"/>
                <w:sz w:val="22"/>
              </w:rPr>
            </w:pPr>
            <w:r>
              <w:rPr>
                <w:rFonts w:ascii="Arial;sans-serif" w:hAnsi="Arial;sans-serif"/>
                <w:b w:val="false"/>
                <w:color w:val="1E4179"/>
                <w:sz w:val="22"/>
              </w:rPr>
              <w:t>1.3</w:t>
            </w:r>
          </w:p>
        </w:tc>
        <w:tc>
          <w:tcPr>
            <w:tcW w:w="1671" w:type="dxa"/>
            <w:gridSpan w:val="3"/>
            <w:tcBorders>
              <w:top w:val="single" w:sz="4" w:space="0" w:color="00B0F0"/>
              <w:left w:val="single" w:sz="4" w:space="0" w:color="00B0F0"/>
              <w:right w:val="single" w:sz="4" w:space="0" w:color="00B0F0"/>
            </w:tcBorders>
            <w:tcMar>
              <w:bottom w:w="0" w:type="dxa"/>
            </w:tcMar>
            <w:vAlign w:val="center"/>
          </w:tcPr>
          <w:p>
            <w:pPr>
              <w:pStyle w:val="TableContents"/>
              <w:bidi w:val="0"/>
              <w:spacing w:before="0" w:after="283"/>
              <w:jc w:val="left"/>
              <w:rPr>
                <w:sz w:val="4"/>
                <w:szCs w:val="4"/>
              </w:rPr>
            </w:pPr>
            <w:r>
              <w:rPr>
                <w:sz w:val="4"/>
                <w:szCs w:val="4"/>
              </w:rPr>
            </w:r>
          </w:p>
        </w:tc>
      </w:tr>
      <w:tr>
        <w:trPr/>
        <w:tc>
          <w:tcPr>
            <w:tcW w:w="7075" w:type="dxa"/>
            <w:gridSpan w:val="3"/>
            <w:tcBorders>
              <w:top w:val="single" w:sz="4" w:space="0" w:color="00B0F0"/>
              <w:left w:val="single" w:sz="4" w:space="0" w:color="00B0F0"/>
              <w:bottom w:val="single" w:sz="4" w:space="0" w:color="00B0F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1E4179"/>
                <w:sz w:val="22"/>
              </w:rPr>
            </w:pPr>
            <w:r>
              <w:rPr>
                <w:rFonts w:ascii="Arial;sans-serif" w:hAnsi="Arial;sans-serif"/>
                <w:b w:val="false"/>
                <w:color w:val="1E4179"/>
                <w:sz w:val="22"/>
              </w:rPr>
              <w:t>Product sales (excluding third-party sales) at constant exchange rates (CER)</w:t>
            </w:r>
          </w:p>
        </w:tc>
        <w:tc>
          <w:tcPr>
            <w:tcW w:w="1459" w:type="dxa"/>
            <w:gridSpan w:val="3"/>
            <w:tcBorders>
              <w:top w:val="single" w:sz="4" w:space="0" w:color="00B0F0"/>
              <w:left w:val="single" w:sz="4" w:space="0" w:color="00B0F0"/>
              <w:bottom w:val="single" w:sz="4" w:space="0" w:color="00B0F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1E4179"/>
                <w:sz w:val="22"/>
              </w:rPr>
            </w:pPr>
            <w:r>
              <w:rPr>
                <w:rFonts w:ascii="Arial;sans-serif" w:hAnsi="Arial;sans-serif"/>
                <w:b w:val="false"/>
                <w:color w:val="1E4179"/>
                <w:sz w:val="22"/>
              </w:rPr>
              <w:t>31.7</w:t>
            </w:r>
          </w:p>
        </w:tc>
        <w:tc>
          <w:tcPr>
            <w:tcW w:w="1671" w:type="dxa"/>
            <w:gridSpan w:val="3"/>
            <w:tcBorders>
              <w:top w:val="single" w:sz="4" w:space="0" w:color="00B0F0"/>
              <w:left w:val="single" w:sz="4" w:space="0" w:color="00B0F0"/>
              <w:bottom w:val="single" w:sz="4" w:space="0" w:color="00B0F0"/>
              <w:right w:val="single" w:sz="4" w:space="0" w:color="00B0F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67665"/>
                <wp:effectExtent l="0" t="0" r="0" b="0"/>
                <wp:wrapNone/>
                <wp:docPr id="9" name="Frame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7</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4179"/>
          <w:sz w:val="22"/>
          <w:shd w:fill="FFFFFF" w:val="clear"/>
        </w:rPr>
      </w:pPr>
      <w:r>
        <w:rPr>
          <w:rFonts w:ascii="Arial;sans-serif" w:hAnsi="Arial;sans-serif"/>
          <w:b/>
          <w:color w:val="1E4179"/>
          <w:sz w:val="22"/>
          <w:shd w:fill="FFFFFF" w:val="clear"/>
        </w:rPr>
        <w:t>About Valneva SE</w:t>
      </w:r>
    </w:p>
    <w:p>
      <w:pPr>
        <w:pStyle w:val="TextBody"/>
        <w:bidi w:val="0"/>
        <w:spacing w:lineRule="auto" w:line="319" w:before="0" w:after="0"/>
        <w:jc w:val="both"/>
        <w:rPr>
          <w:rFonts w:ascii="Arial;sans-serif" w:hAnsi="Arial;sans-serif"/>
          <w:b w:val="false"/>
          <w:color w:val="1E4179"/>
          <w:sz w:val="22"/>
          <w:shd w:fill="FFFFFF" w:val="clear"/>
        </w:rPr>
      </w:pPr>
      <w:r>
        <w:rPr>
          <w:rFonts w:ascii="Arial;sans-serif" w:hAnsi="Arial;sans-serif"/>
          <w:b w:val="false"/>
          <w:color w:val="1E4179"/>
          <w:sz w:val="22"/>
          <w:shd w:fill="FFFFFF" w:val="clear"/>
        </w:rPr>
        <w:t>We are a specialty vaccine company that develops, manufactures, and commercializes prophylactic vaccines for infectious diseases addressing unmet medical needs. We take a highly specialized and targeted approach, applying our deep expertise across multiple vaccine modalities, focused on providing either first-, best- or only-in-class vaccine solutions.</w:t>
      </w:r>
    </w:p>
    <w:p>
      <w:pPr>
        <w:pStyle w:val="TextBody"/>
        <w:bidi w:val="0"/>
        <w:spacing w:lineRule="auto" w:line="319" w:before="0" w:after="0"/>
        <w:jc w:val="both"/>
        <w:rPr>
          <w:rFonts w:ascii="Arial;sans-serif" w:hAnsi="Arial;sans-serif"/>
          <w:b w:val="false"/>
          <w:color w:val="1E4179"/>
          <w:sz w:val="22"/>
          <w:shd w:fill="FFFFFF" w:val="clear"/>
        </w:rPr>
      </w:pPr>
      <w:r>
        <w:rPr>
          <w:rFonts w:ascii="Arial;sans-serif" w:hAnsi="Arial;sans-serif"/>
          <w:b w:val="false"/>
          <w:color w:val="1E4179"/>
          <w:sz w:val="22"/>
          <w:shd w:fill="FFFFFF" w:val="clear"/>
        </w:rPr>
        <w:t>We have a strong track record, having advanced multiple vaccines from early R&amp;D to approvals, and currently market three proprietary travel vaccines.</w:t>
      </w:r>
    </w:p>
    <w:p>
      <w:pPr>
        <w:pStyle w:val="TextBody"/>
        <w:bidi w:val="0"/>
        <w:spacing w:lineRule="auto" w:line="319" w:before="0" w:after="0"/>
        <w:jc w:val="both"/>
        <w:rPr/>
      </w:pPr>
      <w:r>
        <w:rPr>
          <w:rFonts w:ascii="Arial;sans-serif" w:hAnsi="Arial;sans-serif"/>
          <w:b w:val="false"/>
          <w:color w:val="1E4179"/>
          <w:sz w:val="22"/>
          <w:shd w:fill="FFFFFF" w:val="clear"/>
        </w:rPr>
        <w:t>Revenues from our growing commercial business help fuel the continued advancement of our vaccine pipeline. This includes the only Lyme disease vaccine candidate in advanced clinical development, which is partnered with Pfizer, the world’s most clinically advanced Shigella vaccine candidate, as well as vaccine candidates against other global public health threats. More information is available at</w:t>
      </w:r>
      <w:r>
        <w:rPr>
          <w:color w:val="000000"/>
        </w:rPr>
        <w:t xml:space="preserve"> </w:t>
      </w:r>
      <w:r>
        <w:rPr>
          <w:rFonts w:ascii="Arial;sans-serif" w:hAnsi="Arial;sans-serif"/>
          <w:b w:val="false"/>
          <w:color w:val="000000"/>
          <w:sz w:val="22"/>
        </w:rPr>
        <w:t>www.valneva.com</w:t>
      </w:r>
      <w:r>
        <w:rPr>
          <w:rFonts w:ascii="Arial;sans-serif" w:hAnsi="Arial;sans-serif"/>
          <w:b w:val="false"/>
          <w:color w:val="0563C1"/>
          <w:sz w:val="22"/>
          <w:u w:val="single"/>
        </w:rPr>
        <w:t>.</w:t>
      </w:r>
    </w:p>
    <w:p>
      <w:pPr>
        <w:pStyle w:val="TextBody"/>
        <w:bidi w:val="0"/>
        <w:spacing w:before="0" w:after="0"/>
        <w:jc w:val="both"/>
        <w:rPr/>
      </w:pPr>
      <w:r>
        <w:rPr/>
      </w:r>
    </w:p>
    <w:tbl>
      <w:tblPr>
        <w:tblW w:w="9863" w:type="dxa"/>
        <w:jc w:val="left"/>
        <w:tblInd w:w="0" w:type="dxa"/>
        <w:tblLayout w:type="fixed"/>
        <w:tblCellMar>
          <w:top w:w="28" w:type="dxa"/>
          <w:left w:w="28" w:type="dxa"/>
          <w:bottom w:w="28" w:type="dxa"/>
          <w:right w:w="28" w:type="dxa"/>
        </w:tblCellMar>
      </w:tblPr>
      <w:tblGrid>
        <w:gridCol w:w="2219"/>
        <w:gridCol w:w="1949"/>
        <w:gridCol w:w="1952"/>
        <w:gridCol w:w="1014"/>
        <w:gridCol w:w="1014"/>
        <w:gridCol w:w="1016"/>
        <w:gridCol w:w="109"/>
        <w:gridCol w:w="109"/>
        <w:gridCol w:w="109"/>
        <w:gridCol w:w="109"/>
        <w:gridCol w:w="109"/>
        <w:gridCol w:w="154"/>
      </w:tblGrid>
      <w:tr>
        <w:trPr/>
        <w:tc>
          <w:tcPr>
            <w:tcW w:w="221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304" w:before="0" w:after="0"/>
              <w:jc w:val="left"/>
              <w:rPr>
                <w:rFonts w:ascii="Arial;sans-serif" w:hAnsi="Arial;sans-serif"/>
                <w:b/>
                <w:color w:val="002060"/>
                <w:sz w:val="22"/>
              </w:rPr>
            </w:pPr>
            <w:r>
              <w:rPr>
                <w:rFonts w:ascii="Arial;sans-serif" w:hAnsi="Arial;sans-serif"/>
                <w:b/>
                <w:color w:val="002060"/>
                <w:sz w:val="22"/>
              </w:rPr>
              <w:t>Valneva Investor and Media Contacts</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Laetitia Bachelot-Fontaine</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VP, Global Communications and European Investor Relations</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M +33 (0)6 4516 7099</w:t>
            </w:r>
          </w:p>
          <w:p>
            <w:pPr>
              <w:pStyle w:val="TableContents"/>
              <w:bidi w:val="0"/>
              <w:spacing w:lineRule="auto" w:line="333" w:before="0" w:after="0"/>
              <w:jc w:val="left"/>
              <w:rPr>
                <w:rFonts w:ascii="Arial;sans-serif" w:hAnsi="Arial;sans-serif"/>
                <w:b w:val="false"/>
                <w:color w:val="002060"/>
                <w:sz w:val="22"/>
              </w:rPr>
            </w:pPr>
            <w:r>
              <w:rPr>
                <w:rFonts w:ascii="Arial;sans-serif" w:hAnsi="Arial;sans-serif"/>
                <w:b w:val="false"/>
                <w:color w:val="002060"/>
                <w:sz w:val="22"/>
              </w:rPr>
              <w:t>laetitia.bachelotfontaine@valneva.com</w:t>
            </w:r>
          </w:p>
        </w:tc>
        <w:tc>
          <w:tcPr>
            <w:tcW w:w="304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Joshua Drumm, Ph.D.</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 xml:space="preserve">VP, Global Investor Relations </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M +001 917 815 4520</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joshua.drumm@valneva.com</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04" w:before="0" w:after="0"/>
              <w:jc w:val="left"/>
              <w:rPr>
                <w:color w:val="002060"/>
              </w:rPr>
            </w:pPr>
            <w:r>
              <w:rPr>
                <w:color w:val="00206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color w:val="002060"/>
          <w:sz w:val="22"/>
        </w:rPr>
      </w:pPr>
      <w:r>
        <w:rPr>
          <w:rFonts w:ascii="Arial;sans-serif" w:hAnsi="Arial;sans-serif"/>
          <w:b/>
          <w:color w:val="002060"/>
          <w:sz w:val="22"/>
        </w:rPr>
        <w:t>Forward-Looking Statements</w:t>
      </w:r>
    </w:p>
    <w:p>
      <w:pPr>
        <w:pStyle w:val="TextBody"/>
        <w:bidi w:val="0"/>
        <w:spacing w:lineRule="auto" w:line="333" w:before="0" w:after="160"/>
        <w:jc w:val="both"/>
        <w:rPr>
          <w:rFonts w:ascii="Arial;sans-serif" w:hAnsi="Arial;sans-serif"/>
          <w:b w:val="false"/>
          <w:color w:val="1E4179"/>
          <w:sz w:val="22"/>
        </w:rPr>
      </w:pPr>
      <w:r>
        <w:rPr>
          <w:rFonts w:ascii="Arial;sans-serif" w:hAnsi="Arial;sans-serif"/>
          <w:b w:val="false"/>
          <w:color w:val="1E4179"/>
          <w:sz w:val="22"/>
        </w:rPr>
        <w:t xml:space="preserve">This press release contains “forward-looking statements” within the meaning of the Private Securities Litigation Reform Act of 1995 and securities laws in France.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All statements other than statements of historical facts contained in this press release are forward-looking statements, including, but not limited to, statements with respect to: future financial performance and financial guidance including projected product sales, total revenue and total R&amp;D investments; Valneva’s plans for investment in future growth; the timing of orders for commercial products; plans and expectations regarding the development, commercialization and commercial prospects of Valneva’s product candidates and commercial products, including the prospects and timing of actions relating to clinical studies and trials and product approvals, such as study initiations, study advancements, data readouts, submissions, filings, approvals, and label expansions; the expected benefits and availability of Valneva’s commercial products and product candidates; and potential growth opportunities and trends, including the assumptions and expectations regarding total market opportunity targeted by Valneva’s product candidates and commercial products. These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67665"/>
                <wp:effectExtent l="0" t="0" r="0" b="0"/>
                <wp:wrapNone/>
                <wp:docPr id="10" name="Frame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8</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33" w:before="0" w:after="160"/>
        <w:jc w:val="both"/>
        <w:rPr/>
      </w:pPr>
      <w:r>
        <w:rPr>
          <w:rFonts w:ascii="Arial;sans-serif" w:hAnsi="Arial;sans-serif"/>
          <w:b w:val="false"/>
          <w:color w:val="1E4179"/>
          <w:sz w:val="22"/>
        </w:rPr>
        <w:t>forward-looking statements are based on Valneva’s expectations and assumptions as of the date of this press release. Each of these forward-looking statements involves risks and uncertainties that could cause Valneva’s business, strategy, future results or performance to differ materially from those expressed or implied by the forward-looking statements. Many factors may cause differences between current expectations and actual results, including: Valneva’s success in the commercialization of its commercial products; uncertainties and delays involved in the development and manufacture of vaccines;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tariffs and other trade policies, the conflict in Ukraine and the conflict in the Middle East, fluctuations in inflation and uncertain credit and financial markets, on Valneva’s business, clinical trials and financial position; unexpected safety or efficacy data observed during preclinical studies or clinical trials; clinical trial site activation or enrollment rates that are lower than expected; Valneva’s ability to realize the benefits of its collaboration and license agreements; changes in expected or existing competition; changes in the regulatory environment; the uncertainties and timing of the regulatory approval process; the impact of the global and European credit crisis; the ability to obtain or maintain patent or other proprietary intellectual property protection and unexpected litigation or other disputes. Other factors that may cause the Company’s actual results to differ from those expressed or implied in the forward-looking statements in this press release are identified in the section titled “Risk Factors” in Valneva’s Annual Report on Form 20-F for the year ended December 31, 2025 filed with the U.S. Securities and Exchange Commission (“SEC”) and the</w:t>
      </w:r>
      <w:r>
        <w:rPr>
          <w:color w:val="000000"/>
        </w:rPr>
        <w:t xml:space="preserve"> </w:t>
      </w:r>
      <w:r>
        <w:rPr>
          <w:rFonts w:ascii="Arial;sans-serif" w:hAnsi="Arial;sans-serif"/>
          <w:b w:val="false"/>
          <w:i/>
          <w:color w:val="1E4179"/>
          <w:sz w:val="22"/>
        </w:rPr>
        <w:t>Autorité des marchés financiers</w:t>
      </w:r>
      <w:r>
        <w:rPr>
          <w:color w:val="1E4179"/>
        </w:rPr>
        <w:t xml:space="preserve"> </w:t>
      </w:r>
      <w:r>
        <w:rPr>
          <w:rFonts w:ascii="Arial;sans-serif" w:hAnsi="Arial;sans-serif"/>
          <w:b w:val="false"/>
          <w:color w:val="1E4179"/>
          <w:sz w:val="22"/>
        </w:rPr>
        <w:t>(“AMF”) on March 18, 2026, and in other filings made with the SEC and AMF from time to time. Valneva is providing this information as of the date of this press release and expressly disclaims any intention or obligation to publicly update or revise any forward-looking statements, whether as a result of new information, future events, or otherwise, except as required by law.</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67665"/>
                <wp:effectExtent l="0" t="0" r="0" b="0"/>
                <wp:wrapNone/>
                <wp:docPr id="11" name="Frame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8110"/>
                <wp:effectExtent l="0" t="0" r="0" b="0"/>
                <wp:wrapNone/>
                <wp:docPr id="12" name="Frame1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120"/>
                              <w:jc w:val="right"/>
                              <w:rPr>
                                <w:rFonts w:ascii="Gotham Bold;sans-serif" w:hAnsi="Gotham Bold;sans-serif"/>
                                <w:b w:val="false"/>
                                <w:color w:val="626262"/>
                                <w:sz w:val="16"/>
                              </w:rPr>
                            </w:pPr>
                            <w:r>
                              <w:rPr>
                                <w:rFonts w:ascii="Gotham Bold;sans-serif" w:hAnsi="Gotham Bold;sans-serif"/>
                                <w:b w:val="false"/>
                                <w:color w:val="626262"/>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right"/>
                        <w:rPr>
                          <w:rFonts w:ascii="Gotham Bold;sans-serif" w:hAnsi="Gotham Bold;sans-serif"/>
                          <w:b w:val="false"/>
                          <w:color w:val="626262"/>
                          <w:sz w:val="16"/>
                        </w:rPr>
                      </w:pPr>
                      <w:r>
                        <w:rPr>
                          <w:rFonts w:ascii="Gotham Bold;sans-serif" w:hAnsi="Gotham Bold;sans-serif"/>
                          <w:b w:val="false"/>
                          <w:color w:val="626262"/>
                          <w:sz w:val="16"/>
                        </w:rPr>
                        <w:t>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March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ok;sans-serif" w:hAnsi="Gotham Book;sans-serif"/>
                <w:b w:val="false"/>
                <w:color w:val="626262"/>
                <w:sz w:val="16"/>
              </w:rPr>
            </w:pPr>
            <w:r>
              <w:rPr>
                <w:rFonts w:ascii="Gotham Book;sans-serif" w:hAnsi="Gotham Book;sans-serif"/>
                <w:b w:val="false"/>
                <w:color w:val="626262"/>
                <w:sz w:val="16"/>
              </w:rPr>
              <w:t>Valneva SE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I.</w:t>
            </w:r>
          </w:p>
        </w:tc>
        <w:tc>
          <w:tcPr>
            <w:tcW w:w="9863"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Unaudited Interim Consolidated Statement of Profit or Loss and Comprehensive Income</w:t>
            </w:r>
          </w:p>
        </w:tc>
      </w:tr>
    </w:tbl>
    <w:p>
      <w:pPr>
        <w:pStyle w:val="TextBody"/>
        <w:bidi w:val="0"/>
        <w:spacing w:before="0" w:after="120"/>
        <w:jc w:val="both"/>
        <w:rPr/>
      </w:pPr>
      <w:r>
        <w:rPr/>
      </w:r>
    </w:p>
    <w:p>
      <w:pPr>
        <w:pStyle w:val="TextBody"/>
        <w:bidi w:val="0"/>
        <w:spacing w:lineRule="auto" w:line="276" w:before="180" w:after="80"/>
        <w:jc w:val="left"/>
        <w:rPr>
          <w:rFonts w:ascii="Gotham Medium;sans-serif" w:hAnsi="Gotham Medium;sans-serif"/>
          <w:b w:val="false"/>
          <w:color w:val="3673B9"/>
          <w:sz w:val="22"/>
        </w:rPr>
      </w:pPr>
      <w:r>
        <w:rPr>
          <w:rFonts w:ascii="Gotham Medium;sans-serif" w:hAnsi="Gotham Medium;sans-serif"/>
          <w:b w:val="false"/>
          <w:color w:val="3673B9"/>
          <w:sz w:val="22"/>
        </w:rPr>
        <w:t>Unaudited Interim Condensed Consolidated Statement of Profit or Loss</w:t>
      </w:r>
    </w:p>
    <w:tbl>
      <w:tblPr>
        <w:tblW w:w="10205" w:type="dxa"/>
        <w:jc w:val="left"/>
        <w:tblInd w:w="0" w:type="dxa"/>
        <w:tblLayout w:type="fixed"/>
        <w:tblCellMar>
          <w:top w:w="28" w:type="dxa"/>
          <w:left w:w="28" w:type="dxa"/>
          <w:bottom w:w="28" w:type="dxa"/>
          <w:right w:w="28" w:type="dxa"/>
        </w:tblCellMar>
      </w:tblPr>
      <w:tblGrid>
        <w:gridCol w:w="2762"/>
        <w:gridCol w:w="2411"/>
        <w:gridCol w:w="2427"/>
        <w:gridCol w:w="109"/>
        <w:gridCol w:w="397"/>
        <w:gridCol w:w="390"/>
        <w:gridCol w:w="381"/>
        <w:gridCol w:w="397"/>
        <w:gridCol w:w="390"/>
        <w:gridCol w:w="384"/>
        <w:gridCol w:w="157"/>
      </w:tblGrid>
      <w:tr>
        <w:trPr/>
        <w:tc>
          <w:tcPr>
            <w:tcW w:w="2762"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6"/>
            <w:tcBorders>
              <w:top w:val="single" w:sz="8" w:space="0" w:color="026DCE"/>
              <w:bottom w:val="single" w:sz="4" w:space="0" w:color="3673B9"/>
            </w:tcBorders>
            <w:tcMar>
              <w:top w:w="30" w:type="dxa"/>
              <w:left w:w="0" w:type="dxa"/>
              <w:bottom w:w="3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Three months ended March 31,</w:t>
            </w:r>
          </w:p>
        </w:tc>
        <w:tc>
          <w:tcPr>
            <w:tcW w:w="157" w:type="dxa"/>
            <w:tcBorders/>
          </w:tcPr>
          <w:p>
            <w:pPr>
              <w:pStyle w:val="TableContents"/>
              <w:bidi w:val="0"/>
              <w:spacing w:before="0" w:after="283"/>
              <w:jc w:val="left"/>
              <w:rPr>
                <w:sz w:val="4"/>
                <w:szCs w:val="4"/>
              </w:rPr>
            </w:pPr>
            <w:r>
              <w:rPr>
                <w:sz w:val="4"/>
                <w:szCs w:val="4"/>
              </w:rPr>
            </w:r>
          </w:p>
        </w:tc>
      </w:tr>
      <w:tr>
        <w:trPr/>
        <w:tc>
          <w:tcPr>
            <w:tcW w:w="76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26DCE"/>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171"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Product sales</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30,517 </w:t>
            </w:r>
          </w:p>
        </w:tc>
        <w:tc>
          <w:tcPr>
            <w:tcW w:w="38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48,598 </w:t>
            </w:r>
          </w:p>
        </w:tc>
        <w:tc>
          <w:tcPr>
            <w:tcW w:w="384"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386 </w:t>
            </w:r>
          </w:p>
        </w:tc>
        <w:tc>
          <w:tcPr>
            <w:tcW w:w="38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634 </w:t>
            </w:r>
          </w:p>
        </w:tc>
        <w:tc>
          <w:tcPr>
            <w:tcW w:w="384"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30,904 </w:t>
            </w:r>
          </w:p>
        </w:tc>
        <w:tc>
          <w:tcPr>
            <w:tcW w:w="38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49,232 </w:t>
            </w:r>
          </w:p>
        </w:tc>
        <w:tc>
          <w:tcPr>
            <w:tcW w:w="384"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Cost of goods and services</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(26,180)</w:t>
            </w:r>
          </w:p>
        </w:tc>
        <w:tc>
          <w:tcPr>
            <w:tcW w:w="38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(23,043)</w:t>
            </w:r>
          </w:p>
        </w:tc>
        <w:tc>
          <w:tcPr>
            <w:tcW w:w="384"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(15,215)</w:t>
            </w:r>
          </w:p>
        </w:tc>
        <w:tc>
          <w:tcPr>
            <w:tcW w:w="38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(14,953)</w:t>
            </w:r>
          </w:p>
        </w:tc>
        <w:tc>
          <w:tcPr>
            <w:tcW w:w="384"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Marketing and distribution expenses</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(6,969)</w:t>
            </w:r>
          </w:p>
        </w:tc>
        <w:tc>
          <w:tcPr>
            <w:tcW w:w="38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(10,393)</w:t>
            </w:r>
          </w:p>
        </w:tc>
        <w:tc>
          <w:tcPr>
            <w:tcW w:w="384"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(8,169)</w:t>
            </w:r>
          </w:p>
        </w:tc>
        <w:tc>
          <w:tcPr>
            <w:tcW w:w="38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(8,964)</w:t>
            </w:r>
          </w:p>
        </w:tc>
        <w:tc>
          <w:tcPr>
            <w:tcW w:w="384"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income and expenses, net</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1,934 </w:t>
            </w:r>
          </w:p>
        </w:tc>
        <w:tc>
          <w:tcPr>
            <w:tcW w:w="38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2,160 </w:t>
            </w:r>
          </w:p>
        </w:tc>
        <w:tc>
          <w:tcPr>
            <w:tcW w:w="384"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OPERATING PROFIT/(LOSS)</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(23,696)</w:t>
            </w:r>
          </w:p>
        </w:tc>
        <w:tc>
          <w:tcPr>
            <w:tcW w:w="38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(5,960)</w:t>
            </w:r>
          </w:p>
        </w:tc>
        <w:tc>
          <w:tcPr>
            <w:tcW w:w="384"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Finance income</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526 </w:t>
            </w:r>
          </w:p>
        </w:tc>
        <w:tc>
          <w:tcPr>
            <w:tcW w:w="38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511 </w:t>
            </w:r>
          </w:p>
        </w:tc>
        <w:tc>
          <w:tcPr>
            <w:tcW w:w="384"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Finance expenses</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(5,092)</w:t>
            </w:r>
          </w:p>
        </w:tc>
        <w:tc>
          <w:tcPr>
            <w:tcW w:w="38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(5,979)</w:t>
            </w:r>
          </w:p>
        </w:tc>
        <w:tc>
          <w:tcPr>
            <w:tcW w:w="384"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Foreign exchange gain/(loss), net</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(2,988)</w:t>
            </w:r>
          </w:p>
        </w:tc>
        <w:tc>
          <w:tcPr>
            <w:tcW w:w="38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3,670 </w:t>
            </w:r>
          </w:p>
        </w:tc>
        <w:tc>
          <w:tcPr>
            <w:tcW w:w="384"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PROFIT/(LOSS)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(31,249)</w:t>
            </w:r>
          </w:p>
        </w:tc>
        <w:tc>
          <w:tcPr>
            <w:tcW w:w="38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(7,758)</w:t>
            </w:r>
          </w:p>
        </w:tc>
        <w:tc>
          <w:tcPr>
            <w:tcW w:w="384"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Income tax benefit/(expense)</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(824)</w:t>
            </w:r>
          </w:p>
        </w:tc>
        <w:tc>
          <w:tcPr>
            <w:tcW w:w="38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(1,474)</w:t>
            </w:r>
          </w:p>
        </w:tc>
        <w:tc>
          <w:tcPr>
            <w:tcW w:w="384"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PROFIT/(LOSS)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shd w:fill="1E417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(32,073)</w:t>
            </w:r>
          </w:p>
        </w:tc>
        <w:tc>
          <w:tcPr>
            <w:tcW w:w="381" w:type="dxa"/>
            <w:tcBorders/>
            <w:shd w:fill="1E417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(9,232)</w:t>
            </w:r>
          </w:p>
        </w:tc>
        <w:tc>
          <w:tcPr>
            <w:tcW w:w="384"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rPr>
            </w:pPr>
            <w:r>
              <w:rPr>
                <w:rFonts w:ascii="Gotham Medium;sans-serif" w:hAnsi="Gotham Medium;sans-serif"/>
                <w:b w:val="false"/>
                <w:color w:val="3673B9"/>
                <w:sz w:val="15"/>
              </w:rPr>
              <w:t>EARNINGS/(LOSSES) PER SHARE</w:t>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60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0"/>
              <w:jc w:val="left"/>
              <w:rPr/>
            </w:pPr>
            <w:r>
              <w:rPr>
                <w:rFonts w:ascii="Gotham Light;sans-serif" w:hAnsi="Gotham Light;sans-serif"/>
                <w:b w:val="false"/>
                <w:color w:val="626262"/>
                <w:sz w:val="15"/>
              </w:rPr>
              <w:t xml:space="preserve">for profit/(loss) for the period attributable to the equity holders of the Company </w:t>
            </w:r>
            <w:r>
              <w:rPr>
                <w:rFonts w:ascii="Gotham Light;sans-serif" w:hAnsi="Gotham Light;sans-serif"/>
                <w:b w:val="false"/>
                <w:i/>
                <w:color w:val="626262"/>
                <w:sz w:val="15"/>
              </w:rPr>
              <w:t>(expressed in € per share)</w:t>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26DCE"/>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60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Basic</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(0.18)</w:t>
            </w:r>
          </w:p>
        </w:tc>
        <w:tc>
          <w:tcPr>
            <w:tcW w:w="38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(0.06)</w:t>
            </w:r>
          </w:p>
        </w:tc>
        <w:tc>
          <w:tcPr>
            <w:tcW w:w="384"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op w:val="single" w:sz="2" w:space="0" w:color="92929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bottom w:val="single" w:sz="8" w:space="0" w:color="026DCE"/>
            </w:tcBorders>
            <w:shd w:fill="EBEBEB" w:val="clear"/>
            <w:tcMar>
              <w:top w:w="30" w:type="dxa"/>
              <w:left w:w="0" w:type="dxa"/>
              <w:bottom w:w="3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(0.18)</w:t>
            </w:r>
          </w:p>
        </w:tc>
        <w:tc>
          <w:tcPr>
            <w:tcW w:w="381" w:type="dxa"/>
            <w:tcBorders>
              <w:top w:val="single" w:sz="2" w:space="0" w:color="929292"/>
              <w:bottom w:val="single" w:sz="8" w:space="0" w:color="026DCE"/>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(0.06)</w:t>
            </w:r>
          </w:p>
        </w:tc>
        <w:tc>
          <w:tcPr>
            <w:tcW w:w="384" w:type="dxa"/>
            <w:tcBorders>
              <w:top w:val="single" w:sz="2" w:space="0" w:color="92929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80"/>
        <w:jc w:val="left"/>
        <w:rPr/>
      </w:pPr>
      <w:r>
        <w:rPr/>
      </w:r>
    </w:p>
    <w:p>
      <w:pPr>
        <w:pStyle w:val="TextBody"/>
        <w:bidi w:val="0"/>
        <w:spacing w:before="0" w:after="120"/>
        <w:jc w:val="both"/>
        <w:rPr/>
      </w:pPr>
      <w:r>
        <w:rPr/>
      </w:r>
    </w:p>
    <w:p>
      <w:pPr>
        <w:pStyle w:val="TextBody"/>
        <w:bidi w:val="0"/>
        <w:spacing w:lineRule="auto" w:line="276" w:before="180" w:after="80"/>
        <w:jc w:val="left"/>
        <w:rPr>
          <w:rFonts w:ascii="Gotham Medium;sans-serif" w:hAnsi="Gotham Medium;sans-serif"/>
          <w:b w:val="false"/>
          <w:color w:val="3673B9"/>
          <w:sz w:val="22"/>
        </w:rPr>
      </w:pPr>
      <w:r>
        <w:rPr>
          <w:rFonts w:ascii="Gotham Medium;sans-serif" w:hAnsi="Gotham Medium;sans-serif"/>
          <w:b w:val="false"/>
          <w:color w:val="3673B9"/>
          <w:sz w:val="22"/>
        </w:rPr>
        <w:t>Unaudited Interim Condensed Consolidated Statement of Comprehensive Income</w:t>
      </w:r>
    </w:p>
    <w:p>
      <w:pPr>
        <w:pStyle w:val="TextBody"/>
        <w:bidi w:val="0"/>
        <w:spacing w:before="0" w:after="120"/>
        <w:jc w:val="both"/>
        <w:rPr/>
      </w:pPr>
      <w:r>
        <w:rPr/>
      </w:r>
    </w:p>
    <w:tbl>
      <w:tblPr>
        <w:tblW w:w="7973" w:type="dxa"/>
        <w:jc w:val="left"/>
        <w:tblInd w:w="0" w:type="dxa"/>
        <w:tblLayout w:type="fixed"/>
        <w:tblCellMar>
          <w:top w:w="28" w:type="dxa"/>
          <w:left w:w="28" w:type="dxa"/>
          <w:bottom w:w="28" w:type="dxa"/>
          <w:right w:w="28" w:type="dxa"/>
        </w:tblCellMar>
      </w:tblPr>
      <w:tblGrid>
        <w:gridCol w:w="1667"/>
        <w:gridCol w:w="1464"/>
        <w:gridCol w:w="1473"/>
        <w:gridCol w:w="721"/>
        <w:gridCol w:w="109"/>
        <w:gridCol w:w="397"/>
        <w:gridCol w:w="397"/>
        <w:gridCol w:w="397"/>
        <w:gridCol w:w="397"/>
        <w:gridCol w:w="397"/>
        <w:gridCol w:w="400"/>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2385" w:type="dxa"/>
            <w:gridSpan w:val="6"/>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Three months ended March 31,</w:t>
            </w:r>
          </w:p>
        </w:tc>
        <w:tc>
          <w:tcPr>
            <w:tcW w:w="154" w:type="dxa"/>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26DCE"/>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19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PROFIT/(LOSS) FOR THE PERIOD</w:t>
            </w:r>
          </w:p>
        </w:tc>
        <w:tc>
          <w:tcPr>
            <w:tcW w:w="830" w:type="dxa"/>
            <w:gridSpan w:val="2"/>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(32,073)</w:t>
            </w:r>
          </w:p>
        </w:tc>
        <w:tc>
          <w:tcPr>
            <w:tcW w:w="397"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(9,232)</w:t>
            </w:r>
          </w:p>
        </w:tc>
        <w:tc>
          <w:tcPr>
            <w:tcW w:w="400"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OTHER COMPREHENSIVE INCOME/(LOSS)</w:t>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Items that may be reclassified to profit or loss</w:t>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Currency translation differences</w:t>
            </w:r>
          </w:p>
        </w:tc>
        <w:tc>
          <w:tcPr>
            <w:tcW w:w="830" w:type="dxa"/>
            <w:gridSpan w:val="2"/>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(207)</w:t>
            </w:r>
          </w:p>
        </w:tc>
        <w:tc>
          <w:tcPr>
            <w:tcW w:w="39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983 </w:t>
            </w:r>
          </w:p>
        </w:tc>
        <w:tc>
          <w:tcPr>
            <w:tcW w:w="400"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Other comprehensive income/(loss) for the period, net of tax</w:t>
            </w:r>
          </w:p>
        </w:tc>
        <w:tc>
          <w:tcPr>
            <w:tcW w:w="830" w:type="dxa"/>
            <w:gridSpan w:val="2"/>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(207)</w:t>
            </w:r>
          </w:p>
        </w:tc>
        <w:tc>
          <w:tcPr>
            <w:tcW w:w="397"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983 </w:t>
            </w:r>
          </w:p>
        </w:tc>
        <w:tc>
          <w:tcPr>
            <w:tcW w:w="400"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26DCE"/>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TOTAL COMPREHENSIVE INCOME/(LOSS) FOR THE PERIOD</w:t>
            </w:r>
          </w:p>
        </w:tc>
        <w:tc>
          <w:tcPr>
            <w:tcW w:w="721" w:type="dxa"/>
            <w:tcBorders>
              <w:top w:val="single" w:sz="8" w:space="0" w:color="026DCE"/>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(32,280)</w:t>
            </w:r>
          </w:p>
        </w:tc>
        <w:tc>
          <w:tcPr>
            <w:tcW w:w="109" w:type="dxa"/>
            <w:tcBorders>
              <w:top w:val="single" w:sz="8" w:space="0" w:color="026DCE"/>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(8,249)</w:t>
            </w:r>
          </w:p>
        </w:tc>
        <w:tc>
          <w:tcPr>
            <w:tcW w:w="397" w:type="dxa"/>
            <w:tcBorders>
              <w:top w:val="single" w:sz="8" w:space="0" w:color="026DCE"/>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685"/>
                <wp:effectExtent l="0" t="0" r="0" b="0"/>
                <wp:wrapNone/>
                <wp:docPr id="13" name="Frame13"/>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08"/>
                              <w:gridCol w:w="508"/>
                              <w:gridCol w:w="5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914400" cy="133350"/>
                                                </a:xfrm>
                                                <a:prstGeom prst="rect">
                                                  <a:avLst/>
                                                </a:prstGeom>
                                              </pic:spPr>
                                            </pic:pic>
                                          </a:graphicData>
                                        </a:graphic>
                                      </wp:inline>
                                    </w:drawing>
                                  </w:r>
                                  <w:bookmarkStart w:id="0" w:name="i-1"/>
                                  <w:bookmarkEnd w:id="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08"/>
                        <w:gridCol w:w="508"/>
                        <w:gridCol w:w="5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3"/>
                                          <a:stretch>
                                            <a:fillRect/>
                                          </a:stretch>
                                        </pic:blipFill>
                                        <pic:spPr bwMode="auto">
                                          <a:xfrm>
                                            <a:off x="0" y="0"/>
                                            <a:ext cx="914400" cy="133350"/>
                                          </a:xfrm>
                                          <a:prstGeom prst="rect">
                                            <a:avLst/>
                                          </a:prstGeom>
                                        </pic:spPr>
                                      </pic:pic>
                                    </a:graphicData>
                                  </a:graphic>
                                </wp:inline>
                              </w:drawing>
                            </w:r>
                            <w:bookmarkStart w:id="1" w:name="i-1"/>
                            <w:bookmarkEnd w:id="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45"/>
        <w:gridCol w:w="3024"/>
        <w:gridCol w:w="3035"/>
        <w:gridCol w:w="109"/>
        <w:gridCol w:w="109"/>
        <w:gridCol w:w="109"/>
        <w:gridCol w:w="109"/>
        <w:gridCol w:w="109"/>
        <w:gridCol w:w="156"/>
      </w:tblGrid>
      <w:tr>
        <w:trPr/>
        <w:tc>
          <w:tcPr>
            <w:tcW w:w="3445"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March 31, 2026</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Book;sans-serif" w:hAnsi="Gotham Book;sans-serif"/>
                <w:b w:val="false"/>
                <w:color w:val="626262"/>
                <w:sz w:val="16"/>
              </w:rPr>
            </w:pPr>
            <w:r>
              <w:rPr>
                <w:rFonts w:ascii="Gotham Book;sans-serif" w:hAnsi="Gotham Book;sans-serif"/>
                <w:b w:val="false"/>
                <w:color w:val="626262"/>
                <w:sz w:val="16"/>
              </w:rPr>
              <w:t>Valneva SE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1"/>
        <w:gridCol w:w="124"/>
        <w:gridCol w:w="126"/>
        <w:gridCol w:w="2874"/>
        <w:gridCol w:w="2874"/>
        <w:gridCol w:w="4066"/>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II.</w:t>
            </w:r>
          </w:p>
        </w:tc>
        <w:tc>
          <w:tcPr>
            <w:tcW w:w="9814"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Unaudited Interim Condensed Consolidated Statement of Financial Position</w:t>
            </w:r>
          </w:p>
        </w:tc>
      </w:tr>
    </w:tbl>
    <w:p>
      <w:pPr>
        <w:pStyle w:val="TextBody"/>
        <w:bidi w:val="0"/>
        <w:spacing w:before="0" w:after="120"/>
        <w:jc w:val="both"/>
        <w:rPr/>
      </w:pPr>
      <w:r>
        <w:rPr/>
      </w:r>
    </w:p>
    <w:tbl>
      <w:tblPr>
        <w:tblW w:w="6111" w:type="dxa"/>
        <w:jc w:val="left"/>
        <w:tblInd w:w="0" w:type="dxa"/>
        <w:tblLayout w:type="fixed"/>
        <w:tblCellMar>
          <w:top w:w="28" w:type="dxa"/>
          <w:left w:w="28" w:type="dxa"/>
          <w:bottom w:w="28" w:type="dxa"/>
          <w:right w:w="28" w:type="dxa"/>
        </w:tblCellMar>
      </w:tblPr>
      <w:tblGrid>
        <w:gridCol w:w="1112"/>
        <w:gridCol w:w="978"/>
        <w:gridCol w:w="985"/>
        <w:gridCol w:w="109"/>
        <w:gridCol w:w="409"/>
        <w:gridCol w:w="409"/>
        <w:gridCol w:w="411"/>
        <w:gridCol w:w="514"/>
        <w:gridCol w:w="514"/>
        <w:gridCol w:w="51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26DCE"/>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March 31, 2026</w:t>
            </w:r>
          </w:p>
        </w:tc>
        <w:tc>
          <w:tcPr>
            <w:tcW w:w="154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rPr>
            </w:pPr>
            <w:r>
              <w:rPr>
                <w:rFonts w:ascii="Gotham Medium;sans-serif" w:hAnsi="Gotham Medium;sans-serif"/>
                <w:b w:val="false"/>
                <w:color w:val="3673B9"/>
                <w:sz w:val="15"/>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170,574 </w:t>
            </w:r>
          </w:p>
        </w:tc>
        <w:tc>
          <w:tcPr>
            <w:tcW w:w="41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176,296 </w:t>
            </w:r>
          </w:p>
        </w:tc>
        <w:tc>
          <w:tcPr>
            <w:tcW w:w="516"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21,631 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22,349 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Right of use assets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17,954 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18,558 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115,654 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119,474 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7,759 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8,326 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7,577 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7,590 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201,439 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222,540 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50,584 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50,232 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Trade receivables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10,132 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27,813 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35,458 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34,846 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105,265 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109,650 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372,013 </w:t>
            </w:r>
          </w:p>
        </w:tc>
        <w:tc>
          <w:tcPr>
            <w:tcW w:w="411" w:type="dxa"/>
            <w:tcBorders>
              <w:top w:val="single" w:sz="2" w:space="0" w:color="929292"/>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398,836 </w:t>
            </w:r>
          </w:p>
        </w:tc>
        <w:tc>
          <w:tcPr>
            <w:tcW w:w="516" w:type="dxa"/>
            <w:tcBorders>
              <w:top w:val="single" w:sz="2" w:space="0" w:color="929292"/>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rPr>
            </w:pPr>
            <w:r>
              <w:rPr>
                <w:rFonts w:ascii="Gotham Medium;sans-serif" w:hAnsi="Gotham Medium;sans-serif"/>
                <w:b w:val="false"/>
                <w:color w:val="3673B9"/>
                <w:sz w:val="15"/>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Share capital</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26,082 </w:t>
            </w:r>
          </w:p>
        </w:tc>
        <w:tc>
          <w:tcPr>
            <w:tcW w:w="41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26,031 </w:t>
            </w:r>
          </w:p>
        </w:tc>
        <w:tc>
          <w:tcPr>
            <w:tcW w:w="516"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Share premium</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676,820 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675,940 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reserves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84,991 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83,318 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Retained earnings/(Accumulated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(679,121)</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(563,928)</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Profit/(Loss)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(32,073)</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(115,192)</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76,699 </w:t>
            </w:r>
          </w:p>
        </w:tc>
        <w:tc>
          <w:tcPr>
            <w:tcW w:w="41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106,168 </w:t>
            </w:r>
          </w:p>
        </w:tc>
        <w:tc>
          <w:tcPr>
            <w:tcW w:w="516"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rPr>
            </w:pPr>
            <w:r>
              <w:rPr>
                <w:rFonts w:ascii="Gotham Medium;sans-serif" w:hAnsi="Gotham Medium;sans-serif"/>
                <w:b w:val="false"/>
                <w:color w:val="3673B9"/>
                <w:sz w:val="15"/>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201,095 </w:t>
            </w:r>
          </w:p>
        </w:tc>
        <w:tc>
          <w:tcPr>
            <w:tcW w:w="41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199,334 </w:t>
            </w:r>
          </w:p>
        </w:tc>
        <w:tc>
          <w:tcPr>
            <w:tcW w:w="516"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164,062 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161,261 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24,432 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25,343 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Refund liabilities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6,734 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6,684 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Provisions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1,198 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1,392 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Deferred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4,430 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4,409 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239 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246 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94,219 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93,334 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18,271 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17,905 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Trade payables and accruals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21,806 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24,540 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Income tax liability</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65 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Tax and Employee-related liabilities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22,295 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19,555 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2,740 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2,739 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427 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432 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Refund liabilities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10,869 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10,814 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Provisions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12,334 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11,659 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5,411 </w:t>
            </w:r>
          </w:p>
        </w:tc>
        <w:tc>
          <w:tcPr>
            <w:tcW w:w="41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5,689 </w:t>
            </w:r>
          </w:p>
        </w:tc>
        <w:tc>
          <w:tcPr>
            <w:tcW w:w="516"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295,314 </w:t>
            </w:r>
          </w:p>
        </w:tc>
        <w:tc>
          <w:tcPr>
            <w:tcW w:w="41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292,668 </w:t>
            </w:r>
          </w:p>
        </w:tc>
        <w:tc>
          <w:tcPr>
            <w:tcW w:w="516"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26DCE"/>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TOTAL EQUITY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26DCE"/>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372,013 </w:t>
            </w:r>
          </w:p>
        </w:tc>
        <w:tc>
          <w:tcPr>
            <w:tcW w:w="411" w:type="dxa"/>
            <w:tcBorders>
              <w:top w:val="single" w:sz="8" w:space="0" w:color="026DCE"/>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26DCE"/>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398,836 </w:t>
            </w:r>
          </w:p>
        </w:tc>
        <w:tc>
          <w:tcPr>
            <w:tcW w:w="516" w:type="dxa"/>
            <w:tcBorders>
              <w:top w:val="single" w:sz="8" w:space="0" w:color="026DCE"/>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16" name="Frame1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4"/>
                                                <a:stretch>
                                                  <a:fillRect/>
                                                </a:stretch>
                                              </pic:blipFill>
                                              <pic:spPr bwMode="auto">
                                                <a:xfrm>
                                                  <a:off x="0" y="0"/>
                                                  <a:ext cx="914400" cy="133350"/>
                                                </a:xfrm>
                                                <a:prstGeom prst="rect">
                                                  <a:avLst/>
                                                </a:prstGeom>
                                              </pic:spPr>
                                            </pic:pic>
                                          </a:graphicData>
                                        </a:graphic>
                                      </wp:inline>
                                    </w:drawing>
                                  </w:r>
                                  <w:bookmarkStart w:id="2" w:name="i-2"/>
                                  <w:bookmarkEnd w:id="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5"/>
                                          <a:stretch>
                                            <a:fillRect/>
                                          </a:stretch>
                                        </pic:blipFill>
                                        <pic:spPr bwMode="auto">
                                          <a:xfrm>
                                            <a:off x="0" y="0"/>
                                            <a:ext cx="914400" cy="133350"/>
                                          </a:xfrm>
                                          <a:prstGeom prst="rect">
                                            <a:avLst/>
                                          </a:prstGeom>
                                        </pic:spPr>
                                      </pic:pic>
                                    </a:graphicData>
                                  </a:graphic>
                                </wp:inline>
                              </w:drawing>
                            </w:r>
                            <w:bookmarkStart w:id="3" w:name="i-2"/>
                            <w:bookmarkEnd w:id="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March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ok;sans-serif" w:hAnsi="Gotham Book;sans-serif"/>
                <w:b w:val="false"/>
                <w:color w:val="626262"/>
                <w:sz w:val="16"/>
              </w:rPr>
            </w:pPr>
            <w:r>
              <w:rPr>
                <w:rFonts w:ascii="Gotham Book;sans-serif" w:hAnsi="Gotham Book;sans-serif"/>
                <w:b w:val="false"/>
                <w:color w:val="626262"/>
                <w:sz w:val="16"/>
              </w:rPr>
              <w:t>Valneva SE</w:t>
            </w:r>
          </w:p>
        </w:tc>
      </w:tr>
    </w:tbl>
    <w:tbl>
      <w:tblPr>
        <w:tblW w:w="10205" w:type="dxa"/>
        <w:jc w:val="left"/>
        <w:tblInd w:w="0" w:type="dxa"/>
        <w:tblLayout w:type="fixed"/>
        <w:tblCellMar>
          <w:top w:w="28" w:type="dxa"/>
          <w:left w:w="28" w:type="dxa"/>
          <w:bottom w:w="28" w:type="dxa"/>
          <w:right w:w="28" w:type="dxa"/>
        </w:tblCellMar>
      </w:tblPr>
      <w:tblGrid>
        <w:gridCol w:w="174"/>
        <w:gridCol w:w="153"/>
        <w:gridCol w:w="154"/>
        <w:gridCol w:w="2847"/>
        <w:gridCol w:w="2847"/>
        <w:gridCol w:w="403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3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III.</w:t>
            </w:r>
          </w:p>
        </w:tc>
        <w:tc>
          <w:tcPr>
            <w:tcW w:w="9724"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Unaudited Interim Condensed Consolidated Statement of Cash Flows</w:t>
            </w:r>
          </w:p>
        </w:tc>
      </w:tr>
    </w:tbl>
    <w:p>
      <w:pPr>
        <w:pStyle w:val="TextBody"/>
        <w:bidi w:val="0"/>
        <w:spacing w:before="0" w:after="120"/>
        <w:jc w:val="both"/>
        <w:rPr/>
      </w:pPr>
      <w:r>
        <w:rPr/>
      </w:r>
    </w:p>
    <w:tbl>
      <w:tblPr>
        <w:tblW w:w="9818" w:type="dxa"/>
        <w:jc w:val="left"/>
        <w:tblInd w:w="0" w:type="dxa"/>
        <w:tblLayout w:type="fixed"/>
        <w:tblCellMar>
          <w:top w:w="28" w:type="dxa"/>
          <w:left w:w="28" w:type="dxa"/>
          <w:bottom w:w="28" w:type="dxa"/>
          <w:right w:w="28" w:type="dxa"/>
        </w:tblCellMar>
      </w:tblPr>
      <w:tblGrid>
        <w:gridCol w:w="2597"/>
        <w:gridCol w:w="2280"/>
        <w:gridCol w:w="2293"/>
        <w:gridCol w:w="109"/>
        <w:gridCol w:w="397"/>
        <w:gridCol w:w="397"/>
        <w:gridCol w:w="397"/>
        <w:gridCol w:w="397"/>
        <w:gridCol w:w="397"/>
        <w:gridCol w:w="400"/>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5" w:type="dxa"/>
            <w:gridSpan w:val="6"/>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Three months ended March 31,</w:t>
            </w:r>
          </w:p>
        </w:tc>
        <w:tc>
          <w:tcPr>
            <w:tcW w:w="154" w:type="dxa"/>
            <w:tcBorders/>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26DCE"/>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19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Profit/(Loss)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(32,073)</w:t>
            </w:r>
          </w:p>
        </w:tc>
        <w:tc>
          <w:tcPr>
            <w:tcW w:w="397"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(9,232)</w:t>
            </w:r>
          </w:p>
        </w:tc>
        <w:tc>
          <w:tcPr>
            <w:tcW w:w="400"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Adjustments to reconcile profit/(loss) for the period to cash generated from/(used in) operations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14,533 </w:t>
            </w:r>
          </w:p>
        </w:tc>
        <w:tc>
          <w:tcPr>
            <w:tcW w:w="397"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10,262 </w:t>
            </w:r>
          </w:p>
        </w:tc>
        <w:tc>
          <w:tcPr>
            <w:tcW w:w="40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Changes in non-current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3 </w:t>
            </w:r>
          </w:p>
        </w:tc>
        <w:tc>
          <w:tcPr>
            <w:tcW w:w="397"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409 </w:t>
            </w:r>
          </w:p>
        </w:tc>
        <w:tc>
          <w:tcPr>
            <w:tcW w:w="40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Changes in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17,224 </w:t>
            </w:r>
          </w:p>
        </w:tc>
        <w:tc>
          <w:tcPr>
            <w:tcW w:w="397"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(9,175)</w:t>
            </w:r>
          </w:p>
        </w:tc>
        <w:tc>
          <w:tcPr>
            <w:tcW w:w="40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Cash used in operations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(312)</w:t>
            </w:r>
          </w:p>
        </w:tc>
        <w:tc>
          <w:tcPr>
            <w:tcW w:w="397"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(7,736)</w:t>
            </w:r>
          </w:p>
        </w:tc>
        <w:tc>
          <w:tcPr>
            <w:tcW w:w="40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Income tax paid</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w:t>
            </w:r>
          </w:p>
        </w:tc>
        <w:tc>
          <w:tcPr>
            <w:tcW w:w="397"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(411)</w:t>
            </w:r>
          </w:p>
        </w:tc>
        <w:tc>
          <w:tcPr>
            <w:tcW w:w="40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NET CASH GENERATED FROM/(USED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(313)</w:t>
            </w:r>
          </w:p>
        </w:tc>
        <w:tc>
          <w:tcPr>
            <w:tcW w:w="397"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(8,148)</w:t>
            </w:r>
          </w:p>
        </w:tc>
        <w:tc>
          <w:tcPr>
            <w:tcW w:w="400"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(247)</w:t>
            </w:r>
          </w:p>
        </w:tc>
        <w:tc>
          <w:tcPr>
            <w:tcW w:w="397"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(1,402)</w:t>
            </w:r>
          </w:p>
        </w:tc>
        <w:tc>
          <w:tcPr>
            <w:tcW w:w="400"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Purchases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w:t>
            </w:r>
          </w:p>
        </w:tc>
        <w:tc>
          <w:tcPr>
            <w:tcW w:w="397"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(71)</w:t>
            </w:r>
          </w:p>
        </w:tc>
        <w:tc>
          <w:tcPr>
            <w:tcW w:w="40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Proceeds from sale and purchase of MMF investments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437 </w:t>
            </w:r>
          </w:p>
        </w:tc>
        <w:tc>
          <w:tcPr>
            <w:tcW w:w="397"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40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Interest received</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89 </w:t>
            </w:r>
          </w:p>
        </w:tc>
        <w:tc>
          <w:tcPr>
            <w:tcW w:w="397"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511 </w:t>
            </w:r>
          </w:p>
        </w:tc>
        <w:tc>
          <w:tcPr>
            <w:tcW w:w="40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NET CASH GENERATED FROM/(USED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275 </w:t>
            </w:r>
          </w:p>
        </w:tc>
        <w:tc>
          <w:tcPr>
            <w:tcW w:w="397"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(961)</w:t>
            </w:r>
          </w:p>
        </w:tc>
        <w:tc>
          <w:tcPr>
            <w:tcW w:w="400"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Proceeds/(payments) from issuance of common stock, net of costs of equity transactions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920 </w:t>
            </w:r>
          </w:p>
        </w:tc>
        <w:tc>
          <w:tcPr>
            <w:tcW w:w="397"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400"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Proceeds from borrowings, net of 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(516)</w:t>
            </w:r>
          </w:p>
        </w:tc>
        <w:tc>
          <w:tcPr>
            <w:tcW w:w="397"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40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Payment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(685)</w:t>
            </w:r>
          </w:p>
        </w:tc>
        <w:tc>
          <w:tcPr>
            <w:tcW w:w="397"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(685)</w:t>
            </w:r>
          </w:p>
        </w:tc>
        <w:tc>
          <w:tcPr>
            <w:tcW w:w="40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Interest paid (1)</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(4,409)</w:t>
            </w:r>
          </w:p>
        </w:tc>
        <w:tc>
          <w:tcPr>
            <w:tcW w:w="397"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(4,896)</w:t>
            </w:r>
          </w:p>
        </w:tc>
        <w:tc>
          <w:tcPr>
            <w:tcW w:w="40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NET CASH GENERATED FROM FROM/(USED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(4,689)</w:t>
            </w:r>
          </w:p>
        </w:tc>
        <w:tc>
          <w:tcPr>
            <w:tcW w:w="397"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(5,582)</w:t>
            </w:r>
          </w:p>
        </w:tc>
        <w:tc>
          <w:tcPr>
            <w:tcW w:w="400"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rPr>
            </w:pPr>
            <w:r>
              <w:rPr>
                <w:rFonts w:ascii="Gotham Medium;sans-serif" w:hAnsi="Gotham Medium;sans-serif"/>
                <w:b w:val="false"/>
                <w:color w:val="3673B9"/>
                <w:sz w:val="15"/>
              </w:rPr>
              <w:t>NET CHANGE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rPr>
            </w:pPr>
            <w:r>
              <w:rPr>
                <w:rFonts w:ascii="Gotham Medium;sans-serif" w:hAnsi="Gotham Medium;sans-serif"/>
                <w:b w:val="false"/>
                <w:color w:val="3673B9"/>
                <w:sz w:val="15"/>
              </w:rPr>
              <w:t>(4,727)</w:t>
            </w:r>
          </w:p>
        </w:tc>
        <w:tc>
          <w:tcPr>
            <w:tcW w:w="397"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rPr>
            </w:pPr>
            <w:r>
              <w:rPr>
                <w:rFonts w:ascii="Gotham Medium;sans-serif" w:hAnsi="Gotham Medium;sans-serif"/>
                <w:b w:val="false"/>
                <w:color w:val="3673B9"/>
                <w:sz w:val="15"/>
              </w:rPr>
              <w:t>(14,690)</w:t>
            </w:r>
          </w:p>
        </w:tc>
        <w:tc>
          <w:tcPr>
            <w:tcW w:w="400"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 xml:space="preserve">Cash and cash equivalents at beginning of the year </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109,650 </w:t>
            </w:r>
          </w:p>
        </w:tc>
        <w:tc>
          <w:tcPr>
            <w:tcW w:w="397"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168,271 </w:t>
            </w:r>
          </w:p>
        </w:tc>
        <w:tc>
          <w:tcPr>
            <w:tcW w:w="400"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Exchange gains/(losses) on cash</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342 </w:t>
            </w:r>
          </w:p>
        </w:tc>
        <w:tc>
          <w:tcPr>
            <w:tcW w:w="397"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(590)</w:t>
            </w:r>
          </w:p>
        </w:tc>
        <w:tc>
          <w:tcPr>
            <w:tcW w:w="40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 xml:space="preserve">CASH AND CASH EQUIVALENTS AT END OF THE PERIOD </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105,265 </w:t>
            </w:r>
          </w:p>
        </w:tc>
        <w:tc>
          <w:tcPr>
            <w:tcW w:w="397"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152,990 </w:t>
            </w:r>
          </w:p>
        </w:tc>
        <w:tc>
          <w:tcPr>
            <w:tcW w:w="400"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Gotham Light;sans-serif" w:hAnsi="Gotham Light;sans-serif"/>
          <w:b w:val="false"/>
          <w:i/>
          <w:color w:val="626262"/>
          <w:sz w:val="13"/>
        </w:rPr>
        <w:t xml:space="preserve">(1) </w:t>
      </w:r>
      <w:r>
        <w:rPr>
          <w:rFonts w:ascii="Gotham Light;sans-serif" w:hAnsi="Gotham Light;sans-serif"/>
          <w:b w:val="false"/>
          <w:i/>
          <w:color w:val="626262"/>
          <w:sz w:val="13"/>
          <w:shd w:fill="FFFFFF" w:val="clear"/>
        </w:rPr>
        <w:t xml:space="preserve">Cash flows relating to the interest on the lease liabilities amounted to €0.2 million as at March 31, 2026 (2025: €0.2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19" name="Frame1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08"/>
                              <w:gridCol w:w="508"/>
                              <w:gridCol w:w="5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6"/>
                                                <a:stretch>
                                                  <a:fillRect/>
                                                </a:stretch>
                                              </pic:blipFill>
                                              <pic:spPr bwMode="auto">
                                                <a:xfrm>
                                                  <a:off x="0" y="0"/>
                                                  <a:ext cx="914400" cy="133350"/>
                                                </a:xfrm>
                                                <a:prstGeom prst="rect">
                                                  <a:avLst/>
                                                </a:prstGeom>
                                              </pic:spPr>
                                            </pic:pic>
                                          </a:graphicData>
                                        </a:graphic>
                                      </wp:inline>
                                    </w:drawing>
                                  </w:r>
                                  <w:bookmarkStart w:id="4" w:name="i-3"/>
                                  <w:bookmarkEnd w:id="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08"/>
                        <w:gridCol w:w="508"/>
                        <w:gridCol w:w="5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7"/>
                                          <a:stretch>
                                            <a:fillRect/>
                                          </a:stretch>
                                        </pic:blipFill>
                                        <pic:spPr bwMode="auto">
                                          <a:xfrm>
                                            <a:off x="0" y="0"/>
                                            <a:ext cx="914400" cy="133350"/>
                                          </a:xfrm>
                                          <a:prstGeom prst="rect">
                                            <a:avLst/>
                                          </a:prstGeom>
                                        </pic:spPr>
                                      </pic:pic>
                                    </a:graphicData>
                                  </a:graphic>
                                </wp:inline>
                              </w:drawing>
                            </w:r>
                            <w:bookmarkStart w:id="5" w:name="i-3"/>
                            <w:bookmarkEnd w:id="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45"/>
        <w:gridCol w:w="3024"/>
        <w:gridCol w:w="3035"/>
        <w:gridCol w:w="109"/>
        <w:gridCol w:w="109"/>
        <w:gridCol w:w="109"/>
        <w:gridCol w:w="109"/>
        <w:gridCol w:w="109"/>
        <w:gridCol w:w="156"/>
      </w:tblGrid>
      <w:tr>
        <w:trPr/>
        <w:tc>
          <w:tcPr>
            <w:tcW w:w="3445"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March 31, 2026</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Book;sans-serif" w:hAnsi="Gotham Book;sans-serif"/>
                <w:b w:val="false"/>
                <w:color w:val="626262"/>
                <w:sz w:val="16"/>
              </w:rPr>
            </w:pPr>
            <w:r>
              <w:rPr>
                <w:rFonts w:ascii="Gotham Book;sans-serif" w:hAnsi="Gotham Book;sans-serif"/>
                <w:b w:val="false"/>
                <w:color w:val="626262"/>
                <w:sz w:val="16"/>
              </w:rPr>
              <w:t>Valneva SE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9"/>
        <w:gridCol w:w="158"/>
        <w:gridCol w:w="159"/>
        <w:gridCol w:w="2843"/>
        <w:gridCol w:w="2843"/>
        <w:gridCol w:w="4023"/>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4023"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IV.</w:t>
            </w:r>
          </w:p>
        </w:tc>
        <w:tc>
          <w:tcPr>
            <w:tcW w:w="9709"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Unaudited Interim Condensed Consolidated Statement of Changes in Equity</w:t>
            </w:r>
          </w:p>
        </w:tc>
      </w:tr>
    </w:tbl>
    <w:p>
      <w:pPr>
        <w:pStyle w:val="TextBody"/>
        <w:bidi w:val="0"/>
        <w:spacing w:before="0" w:after="120"/>
        <w:jc w:val="both"/>
        <w:rPr/>
      </w:pPr>
      <w:r>
        <w:rPr/>
      </w:r>
    </w:p>
    <w:tbl>
      <w:tblPr>
        <w:tblW w:w="10205" w:type="dxa"/>
        <w:jc w:val="left"/>
        <w:tblInd w:w="0" w:type="dxa"/>
        <w:tblLayout w:type="fixed"/>
        <w:tblCellMar>
          <w:top w:w="28" w:type="dxa"/>
          <w:left w:w="28" w:type="dxa"/>
          <w:bottom w:w="28" w:type="dxa"/>
          <w:right w:w="28" w:type="dxa"/>
        </w:tblCellMar>
      </w:tblPr>
      <w:tblGrid>
        <w:gridCol w:w="1021"/>
        <w:gridCol w:w="872"/>
        <w:gridCol w:w="876"/>
        <w:gridCol w:w="109"/>
        <w:gridCol w:w="109"/>
        <w:gridCol w:w="354"/>
        <w:gridCol w:w="348"/>
        <w:gridCol w:w="341"/>
        <w:gridCol w:w="414"/>
        <w:gridCol w:w="405"/>
        <w:gridCol w:w="401"/>
        <w:gridCol w:w="399"/>
        <w:gridCol w:w="385"/>
        <w:gridCol w:w="386"/>
        <w:gridCol w:w="542"/>
        <w:gridCol w:w="542"/>
        <w:gridCol w:w="544"/>
        <w:gridCol w:w="401"/>
        <w:gridCol w:w="403"/>
        <w:gridCol w:w="354"/>
        <w:gridCol w:w="368"/>
        <w:gridCol w:w="368"/>
        <w:gridCol w:w="263"/>
      </w:tblGrid>
      <w:tr>
        <w:trPr/>
        <w:tc>
          <w:tcPr>
            <w:tcW w:w="102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7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Share capital</w:t>
            </w:r>
          </w:p>
        </w:tc>
        <w:tc>
          <w:tcPr>
            <w:tcW w:w="1220"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Share premium</w:t>
            </w:r>
          </w:p>
        </w:tc>
        <w:tc>
          <w:tcPr>
            <w:tcW w:w="1170"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Other reserves</w:t>
            </w:r>
          </w:p>
        </w:tc>
        <w:tc>
          <w:tcPr>
            <w:tcW w:w="1628"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Retained earnings/</w:t>
              <w:br/>
              <w:t>(Accumulated deficit)</w:t>
            </w:r>
          </w:p>
        </w:tc>
        <w:tc>
          <w:tcPr>
            <w:tcW w:w="1158"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 xml:space="preserve">Profit/(loss) </w:t>
              <w:br/>
              <w:t>for the period</w:t>
            </w:r>
          </w:p>
        </w:tc>
        <w:tc>
          <w:tcPr>
            <w:tcW w:w="999"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Total</w:t>
              <w:br/>
              <w:t>equity</w:t>
            </w:r>
          </w:p>
        </w:tc>
      </w:tr>
      <w:tr>
        <w:trPr/>
        <w:tc>
          <w:tcPr>
            <w:tcW w:w="2769"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BALANCE AS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26,031 </w:t>
            </w:r>
          </w:p>
        </w:tc>
        <w:tc>
          <w:tcPr>
            <w:tcW w:w="34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675,940 </w:t>
            </w:r>
          </w:p>
        </w:tc>
        <w:tc>
          <w:tcPr>
            <w:tcW w:w="40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83,318 </w:t>
            </w:r>
          </w:p>
        </w:tc>
        <w:tc>
          <w:tcPr>
            <w:tcW w:w="386"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(563,928)</w:t>
            </w:r>
          </w:p>
        </w:tc>
        <w:tc>
          <w:tcPr>
            <w:tcW w:w="544"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(115,192)</w:t>
            </w:r>
          </w:p>
        </w:tc>
        <w:tc>
          <w:tcPr>
            <w:tcW w:w="354"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106,168 </w:t>
            </w:r>
          </w:p>
        </w:tc>
        <w:tc>
          <w:tcPr>
            <w:tcW w:w="263"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Total comprehensive income/(loss)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4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401"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(207)</w:t>
            </w:r>
          </w:p>
        </w:tc>
        <w:tc>
          <w:tcPr>
            <w:tcW w:w="386"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44"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(32,073)</w:t>
            </w:r>
          </w:p>
        </w:tc>
        <w:tc>
          <w:tcPr>
            <w:tcW w:w="354"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26DCE"/>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(32,280)</w:t>
            </w:r>
          </w:p>
        </w:tc>
        <w:tc>
          <w:tcPr>
            <w:tcW w:w="263" w:type="dxa"/>
            <w:tcBorders>
              <w:top w:val="single" w:sz="8" w:space="0" w:color="026DCE"/>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Income appropriation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4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40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86"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(115,192)</w:t>
            </w:r>
          </w:p>
        </w:tc>
        <w:tc>
          <w:tcPr>
            <w:tcW w:w="544"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115,192 </w:t>
            </w:r>
          </w:p>
        </w:tc>
        <w:tc>
          <w:tcPr>
            <w:tcW w:w="354"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263"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Share-based compensation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2" w:space="0" w:color="929292"/>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2" w:space="0" w:color="929292"/>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2" w:space="0" w:color="929292"/>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2" w:space="0" w:color="929292"/>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2" w:space="0" w:color="929292"/>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2" w:space="0" w:color="929292"/>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 xml:space="preserve">Value of 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4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40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1,880 </w:t>
            </w:r>
          </w:p>
        </w:tc>
        <w:tc>
          <w:tcPr>
            <w:tcW w:w="386"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44"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54"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1,880 </w:t>
            </w:r>
          </w:p>
        </w:tc>
        <w:tc>
          <w:tcPr>
            <w:tcW w:w="263"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 xml:space="preserve">Exercises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51 </w:t>
            </w:r>
          </w:p>
        </w:tc>
        <w:tc>
          <w:tcPr>
            <w:tcW w:w="34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881 </w:t>
            </w:r>
          </w:p>
        </w:tc>
        <w:tc>
          <w:tcPr>
            <w:tcW w:w="401"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86"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44"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54"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931 </w:t>
            </w:r>
          </w:p>
        </w:tc>
        <w:tc>
          <w:tcPr>
            <w:tcW w:w="263"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BALANCE AS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26,082 </w:t>
            </w:r>
          </w:p>
        </w:tc>
        <w:tc>
          <w:tcPr>
            <w:tcW w:w="341"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676,820 </w:t>
            </w:r>
          </w:p>
        </w:tc>
        <w:tc>
          <w:tcPr>
            <w:tcW w:w="401"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84,991 </w:t>
            </w:r>
          </w:p>
        </w:tc>
        <w:tc>
          <w:tcPr>
            <w:tcW w:w="386"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(679,121)</w:t>
            </w:r>
          </w:p>
        </w:tc>
        <w:tc>
          <w:tcPr>
            <w:tcW w:w="544"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(32,073)</w:t>
            </w:r>
          </w:p>
        </w:tc>
        <w:tc>
          <w:tcPr>
            <w:tcW w:w="354"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76,699 </w:t>
            </w:r>
          </w:p>
        </w:tc>
        <w:tc>
          <w:tcPr>
            <w:tcW w:w="263"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1"/>
        <w:gridCol w:w="886"/>
        <w:gridCol w:w="891"/>
        <w:gridCol w:w="109"/>
        <w:gridCol w:w="109"/>
        <w:gridCol w:w="354"/>
        <w:gridCol w:w="349"/>
        <w:gridCol w:w="345"/>
        <w:gridCol w:w="414"/>
        <w:gridCol w:w="407"/>
        <w:gridCol w:w="405"/>
        <w:gridCol w:w="399"/>
        <w:gridCol w:w="388"/>
        <w:gridCol w:w="390"/>
        <w:gridCol w:w="546"/>
        <w:gridCol w:w="546"/>
        <w:gridCol w:w="548"/>
        <w:gridCol w:w="369"/>
        <w:gridCol w:w="363"/>
        <w:gridCol w:w="358"/>
        <w:gridCol w:w="368"/>
        <w:gridCol w:w="368"/>
        <w:gridCol w:w="262"/>
      </w:tblGrid>
      <w:tr>
        <w:trPr/>
        <w:tc>
          <w:tcPr>
            <w:tcW w:w="103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Share capital</w:t>
            </w:r>
          </w:p>
        </w:tc>
        <w:tc>
          <w:tcPr>
            <w:tcW w:w="12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Share premium</w:t>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Other reserves</w:t>
            </w:r>
          </w:p>
        </w:tc>
        <w:tc>
          <w:tcPr>
            <w:tcW w:w="1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Retained earnings/</w:t>
              <w:br/>
              <w:t>(Accumulated deficit)</w:t>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 xml:space="preserve">Profit/(loss) </w:t>
              <w:br/>
              <w:t>for the period</w:t>
            </w:r>
          </w:p>
        </w:tc>
        <w:tc>
          <w:tcPr>
            <w:tcW w:w="9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Total</w:t>
              <w:br/>
              <w:t>equity</w:t>
            </w:r>
          </w:p>
        </w:tc>
      </w:tr>
      <w:tr>
        <w:trPr/>
        <w:tc>
          <w:tcPr>
            <w:tcW w:w="2808"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BALANCE AS AT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24,378 </w:t>
            </w:r>
          </w:p>
        </w:tc>
        <w:tc>
          <w:tcPr>
            <w:tcW w:w="345"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647,600 </w:t>
            </w:r>
          </w:p>
        </w:tc>
        <w:tc>
          <w:tcPr>
            <w:tcW w:w="405"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73,203 </w:t>
            </w:r>
          </w:p>
        </w:tc>
        <w:tc>
          <w:tcPr>
            <w:tcW w:w="390"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(551,682)</w:t>
            </w:r>
          </w:p>
        </w:tc>
        <w:tc>
          <w:tcPr>
            <w:tcW w:w="548"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(12,247)</w:t>
            </w:r>
          </w:p>
        </w:tc>
        <w:tc>
          <w:tcPr>
            <w:tcW w:w="358"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181,253 </w:t>
            </w:r>
          </w:p>
        </w:tc>
        <w:tc>
          <w:tcPr>
            <w:tcW w:w="262"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Total comprehensive income/(loss)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45"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405"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983 </w:t>
            </w:r>
          </w:p>
        </w:tc>
        <w:tc>
          <w:tcPr>
            <w:tcW w:w="390"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48"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(9,232)</w:t>
            </w:r>
          </w:p>
        </w:tc>
        <w:tc>
          <w:tcPr>
            <w:tcW w:w="358"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(8,249)</w:t>
            </w:r>
          </w:p>
        </w:tc>
        <w:tc>
          <w:tcPr>
            <w:tcW w:w="262"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Income appropriation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40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9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(12,247)</w:t>
            </w:r>
          </w:p>
        </w:tc>
        <w:tc>
          <w:tcPr>
            <w:tcW w:w="548"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12,247 </w:t>
            </w:r>
          </w:p>
        </w:tc>
        <w:tc>
          <w:tcPr>
            <w:tcW w:w="358"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262"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Share-based compensation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Value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40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2,249 </w:t>
            </w:r>
          </w:p>
        </w:tc>
        <w:tc>
          <w:tcPr>
            <w:tcW w:w="390"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48"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58"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2,249 </w:t>
            </w:r>
          </w:p>
        </w:tc>
        <w:tc>
          <w:tcPr>
            <w:tcW w:w="262"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8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8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8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808"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BALANCE AS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24,378 </w:t>
            </w:r>
          </w:p>
        </w:tc>
        <w:tc>
          <w:tcPr>
            <w:tcW w:w="345"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647,600 </w:t>
            </w:r>
          </w:p>
        </w:tc>
        <w:tc>
          <w:tcPr>
            <w:tcW w:w="405"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76,434 </w:t>
            </w:r>
          </w:p>
        </w:tc>
        <w:tc>
          <w:tcPr>
            <w:tcW w:w="390"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(563,928)</w:t>
            </w:r>
          </w:p>
        </w:tc>
        <w:tc>
          <w:tcPr>
            <w:tcW w:w="548"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(9,232)</w:t>
            </w:r>
          </w:p>
        </w:tc>
        <w:tc>
          <w:tcPr>
            <w:tcW w:w="358"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175,253 </w:t>
            </w:r>
          </w:p>
        </w:tc>
        <w:tc>
          <w:tcPr>
            <w:tcW w:w="262"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83"/>
        <w:jc w:val="both"/>
        <w:rPr/>
      </w:pPr>
      <w:r>
        <w:rPr/>
      </w:r>
    </w:p>
    <w:p>
      <w:pPr>
        <w:pStyle w:val="TextBody"/>
        <w:bidi w:val="0"/>
        <w:spacing w:before="0" w:after="1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54685"/>
                <wp:effectExtent l="0" t="0" r="0" b="0"/>
                <wp:wrapNone/>
                <wp:docPr id="22" name="Frame1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8"/>
                                                <a:stretch>
                                                  <a:fillRect/>
                                                </a:stretch>
                                              </pic:blipFill>
                                              <pic:spPr bwMode="auto">
                                                <a:xfrm>
                                                  <a:off x="0" y="0"/>
                                                  <a:ext cx="914400" cy="133350"/>
                                                </a:xfrm>
                                                <a:prstGeom prst="rect">
                                                  <a:avLst/>
                                                </a:prstGeom>
                                              </pic:spPr>
                                            </pic:pic>
                                          </a:graphicData>
                                        </a:graphic>
                                      </wp:inline>
                                    </w:drawing>
                                  </w:r>
                                  <w:bookmarkStart w:id="6" w:name="i-4"/>
                                  <w:bookmarkEnd w:id="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9"/>
                                          <a:stretch>
                                            <a:fillRect/>
                                          </a:stretch>
                                        </pic:blipFill>
                                        <pic:spPr bwMode="auto">
                                          <a:xfrm>
                                            <a:off x="0" y="0"/>
                                            <a:ext cx="914400" cy="133350"/>
                                          </a:xfrm>
                                          <a:prstGeom prst="rect">
                                            <a:avLst/>
                                          </a:prstGeom>
                                        </pic:spPr>
                                      </pic:pic>
                                    </a:graphicData>
                                  </a:graphic>
                                </wp:inline>
                              </w:drawing>
                            </w:r>
                            <w:bookmarkStart w:id="7" w:name="i-4"/>
                            <w:bookmarkEnd w:id="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5</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Courier New">
    <w:altName w:val="serif"/>
    <w:charset w:val="01"/>
    <w:family w:val="auto"/>
    <w:pitch w:val="default"/>
  </w:font>
  <w:font w:name="Gotham Bold">
    <w:altName w:val="sans-serif"/>
    <w:charset w:val="01"/>
    <w:family w:val="auto"/>
    <w:pitch w:val="default"/>
  </w:font>
  <w:font w:name="Gotham Medium">
    <w:altName w:val="sans-serif"/>
    <w:charset w:val="01"/>
    <w:family w:val="auto"/>
    <w:pitch w:val="default"/>
  </w:font>
  <w:font w:name="Gotham Book">
    <w:altName w:val="sans-serif"/>
    <w:charset w:val="01"/>
    <w:family w:val="auto"/>
    <w:pitch w:val="default"/>
  </w:font>
  <w:font w:name="Gotham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4377</Words>
  <Characters>25762</Characters>
  <CharactersWithSpaces>30104</CharactersWithSpaces>
  <Paragraphs>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