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22"/>
          <w:szCs w:val="22"/>
          <w:b w:val="1"/>
          <w:bCs w:val="1"/>
          <w:color w:val="0000FF"/>
        </w:rPr>
        <w:t>VALNEVA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115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1520" cy="42545"/>
                    </a:xfrm>
                    <a:prstGeom prst="rect">
                      <a:avLst/>
                    </a:prstGeom>
                    <a:noFill/>
                  </pic:spPr>
                </pic:pic>
              </a:graphicData>
            </a:graphic>
          </wp:anchor>
        </w:drawing>
      </w:r>
    </w:p>
    <w:p>
      <w:pPr>
        <w:spacing w:after="0" w:line="21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21"/>
          <w:szCs w:val="21"/>
          <w:b w:val="1"/>
          <w:bCs w:val="1"/>
          <w:color w:val="0000FF"/>
        </w:rPr>
        <w:t>Ordinary Shares, nominal value EURO0.15 per share, represented by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8115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1520" cy="42545"/>
                    </a:xfrm>
                    <a:prstGeom prst="rect">
                      <a:avLst/>
                    </a:prstGeom>
                    <a:noFill/>
                  </pic:spPr>
                </pic:pic>
              </a:graphicData>
            </a:graphic>
          </wp:anchor>
        </w:drawing>
      </w:r>
    </w:p>
    <w:p>
      <w:pPr>
        <w:spacing w:after="0" w:line="2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8115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15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115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1520" cy="42545"/>
                    </a:xfrm>
                    <a:prstGeom prst="rect">
                      <a:avLst/>
                    </a:prstGeom>
                    <a:noFill/>
                  </pic:spPr>
                </pic:pic>
              </a:graphicData>
            </a:graphic>
          </wp:anchor>
        </w:drawing>
      </w:r>
    </w:p>
    <w:p>
      <w:pPr>
        <w:spacing w:after="0" w:line="21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6,879,516.00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6,879,516.00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6,879,516.00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6,879,516.00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6,879,516.00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6,879,516.00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020"/>
          </w:cols>
          <w:pgMar w:left="320" w:top="102" w:right="55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369"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6,879,516.00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6,879,516.00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6,879,516.00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60"/>
          </w:cols>
          <w:pgMar w:left="320" w:top="369" w:right="559" w:bottom="0" w:gutter="0" w:footer="0" w:header="0"/>
          <w:type w:val="continuous"/>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ectPr>
          <w:pgSz w:w="11900" w:h="16838" w:orient="portrait"/>
          <w:cols w:equalWidth="0" w:num="1">
            <w:col w:w="11020"/>
          </w:cols>
          <w:pgMar w:left="320" w:top="369" w:right="5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20"/>
          </w:cols>
          <w:pgMar w:left="320" w:top="369" w:right="55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189"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60"/>
          </w:cols>
          <w:pgMar w:left="320" w:top="189" w:right="559" w:bottom="0" w:gutter="0" w:footer="0" w:header="0"/>
          <w:type w:val="continuous"/>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020"/>
          </w:cols>
          <w:pgMar w:left="320" w:top="189" w:right="55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60" w:hanging="231"/>
        <w:spacing w:after="0" w:line="371" w:lineRule="auto"/>
        <w:tabs>
          <w:tab w:leader="none" w:pos="2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60"/>
          </w:cols>
          <w:pgMar w:left="320" w:top="112" w:right="559" w:bottom="0" w:gutter="0" w:footer="0" w:header="0"/>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115,500.00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115,500.00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20"/>
          </w:cols>
          <w:pgMar w:left="320" w:top="112" w:right="55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115,500.00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111"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337,989.00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337,989.00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60"/>
          </w:cols>
          <w:pgMar w:left="320" w:top="111" w:right="559" w:bottom="0" w:gutter="0" w:footer="0" w:header="0"/>
          <w:type w:val="continuous"/>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ectPr>
          <w:pgSz w:w="11900" w:h="16838" w:orient="portrait"/>
          <w:cols w:equalWidth="0" w:num="1">
            <w:col w:w="11020"/>
          </w:cols>
          <w:pgMar w:left="320" w:top="111" w:right="559" w:bottom="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567"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337,989.00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337,989.00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60"/>
          </w:cols>
          <w:pgMar w:left="320" w:top="567" w:right="559" w:bottom="0" w:gutter="0" w:footer="0" w:header="0"/>
          <w:type w:val="continuous"/>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020"/>
          </w:cols>
          <w:pgMar w:left="320" w:top="567" w:right="559" w:bottom="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337,989.00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337,989.00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60"/>
          </w:cols>
          <w:pgMar w:left="320" w:top="111" w:right="559" w:bottom="0" w:gutter="0" w:footer="0" w:header="0"/>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918,572.00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020"/>
          </w:cols>
          <w:pgMar w:left="320" w:top="111" w:right="559" w:bottom="0" w:gutter="0" w:footer="0" w:header="0"/>
          <w:type w:val="continuous"/>
        </w:sectPr>
      </w:pPr>
    </w:p>
    <w:bookmarkStart w:id="8" w:name="page9"/>
    <w:bookmarkEnd w:id="8"/>
    <w:p>
      <w:pPr>
        <w:ind w:left="1440"/>
        <w:spacing w:after="0"/>
        <w:rPr>
          <w:sz w:val="20"/>
          <w:szCs w:val="20"/>
          <w:color w:val="auto"/>
        </w:rPr>
      </w:pPr>
      <w:r>
        <w:rPr>
          <w:rFonts w:ascii="Times New Roman" w:cs="Times New Roman" w:eastAsia="Times New Roman" w:hAnsi="Times New Roman"/>
          <w:sz w:val="22"/>
          <w:szCs w:val="22"/>
          <w:color w:val="auto"/>
        </w:rPr>
        <w:t>918,572.00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918,572.00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111" w:right="559" w:bottom="20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918,572.00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918,572.00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9860"/>
          </w:cols>
          <w:pgMar w:left="320" w:top="111" w:right="559" w:bottom="208" w:gutter="0" w:footer="0" w:header="0"/>
          <w:type w:val="continuous"/>
        </w:sectPr>
      </w:pPr>
    </w:p>
    <w:bookmarkStart w:id="9" w:name="page10"/>
    <w:bookmarkEnd w:id="9"/>
    <w:p>
      <w:pPr>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108"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918,572.00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918,572.00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60"/>
          </w:cols>
          <w:pgMar w:left="320" w:top="108" w:right="559" w:bottom="0" w:gutter="0" w:footer="0" w:header="0"/>
          <w:type w:val="continuous"/>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reported in rows 6, 8 and 9 do not include any warrants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020"/>
          </w:cols>
          <w:pgMar w:left="320" w:top="108" w:right="559"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3" w:orient="portrait"/>
          <w:cols w:equalWidth="0" w:num="2">
            <w:col w:w="1100" w:space="60"/>
            <w:col w:w="9940"/>
          </w:cols>
          <w:pgMar w:left="320" w:top="369" w:right="4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consists of the securities held directly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Frazier Life Sciences X, L.P. and do not include any warrants.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115,500.00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903" w:orient="portrait"/>
          <w:cols w:equalWidth="0" w:num="1">
            <w:col w:w="11100"/>
          </w:cols>
          <w:pgMar w:left="320" w:top="369" w:right="479" w:bottom="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115,500.00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115,500.00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consists of the securities held directly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Frazier Life Sciences X, L.P. and do not include any warrants. See item 4(a) to this Statement. The percentage listed in row 11 is calculated based on 189,771,237 Ordinary Shares outstanding of the Issuer as of May 5, 2026, as set forth in the Issuer's press release issued on April 30,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VALNEVA SE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IIot Saint Joseph Bureaux Convergence, 12T Quai Perrache, Lyon, I0, 69002.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The entities and persons filing this statement (collectively, the "Reporting Persons") are: Frazier Life Sciences Public</w:t>
      </w:r>
    </w:p>
    <w:p>
      <w:pPr>
        <w:spacing w:after="0" w:line="26" w:lineRule="exact"/>
        <w:rPr>
          <w:sz w:val="20"/>
          <w:szCs w:val="20"/>
          <w:color w:val="auto"/>
        </w:rPr>
      </w:pPr>
    </w:p>
    <w:p>
      <w:pPr>
        <w:ind w:left="960" w:right="160" w:hanging="912"/>
        <w:spacing w:after="0" w:line="234" w:lineRule="auto"/>
        <w:tabs>
          <w:tab w:leader="none" w:pos="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L.P. ("FLSPF") FHMLSP, L.P. FHMLSP, L.L.C. Frazier Life Sciences X, L.P. ("FLS X") FHMLS X, L.P. FHMLS X, L.L.C. Frazier Life Sciences XI, L.P. ("FLS XI") FHMLS XI, L.P. FHMLS XI, L.L.C. Frazier Life Sciences XII, L.P. ("FLS XII") FHMLS XII, L.P. FHMLS XII, L.L.C. James N. Topper ("Topper") Patrick J. Heron ("Heron" and together with Topper, the "Members")</w:t>
      </w:r>
    </w:p>
    <w:p>
      <w:pPr>
        <w:sectPr>
          <w:pgSz w:w="11900" w:h="16838" w:orient="portrait"/>
          <w:cols w:equalWidth="0" w:num="1">
            <w:col w:w="11100"/>
          </w:cols>
          <w:pgMar w:left="320" w:top="112" w:right="479" w:bottom="0" w:gutter="0" w:footer="0" w:header="0"/>
        </w:sect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780"/>
        <w:spacing w:after="0" w:line="256" w:lineRule="auto"/>
        <w:rPr>
          <w:sz w:val="20"/>
          <w:szCs w:val="20"/>
          <w:color w:val="auto"/>
        </w:rPr>
      </w:pPr>
      <w:r>
        <w:rPr>
          <w:rFonts w:ascii="Times New Roman" w:cs="Times New Roman" w:eastAsia="Times New Roman" w:hAnsi="Times New Roman"/>
          <w:sz w:val="22"/>
          <w:szCs w:val="22"/>
          <w:color w:val="auto"/>
        </w:rPr>
        <w:t>The address of the principal place of business for each of the Reporting Persons is: c/o Frazier Life Sciences Management, L.P. 1001 Page Mill Rd, Building 4, Suite 200B Palo Alto, CA 94304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information contained in row 4 of each Reporting Person's cover page to this this Schedule 13G is incorporated by reference.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1600"/>
        <w:spacing w:after="0" w:line="309" w:lineRule="auto"/>
        <w:rPr>
          <w:sz w:val="20"/>
          <w:szCs w:val="20"/>
          <w:color w:val="auto"/>
        </w:rPr>
      </w:pPr>
      <w:r>
        <w:rPr>
          <w:rFonts w:ascii="Times New Roman" w:cs="Times New Roman" w:eastAsia="Times New Roman" w:hAnsi="Times New Roman"/>
          <w:sz w:val="22"/>
          <w:szCs w:val="22"/>
          <w:color w:val="auto"/>
        </w:rPr>
        <w:t>Ordinary Shares, nominal value EURO0.15 per share, represented by American Depository Shares CUSIP No.: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8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140"/>
          </w:cols>
          <w:pgMar w:left="320" w:top="112" w:right="479"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248" w:gutter="0" w:footer="0" w:header="0"/>
        </w:sectPr>
      </w:pPr>
    </w:p>
    <w:p>
      <w:pPr>
        <w:spacing w:after="0" w:line="33"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The information contained in row 9 of each Reporting Person's cover page to this this Schedule 13G (including the footnotes thereto) is incorporated by reference. FLSPF directly holds 3,255,934 Ordinary Shares of the Issuer and 1,811,791 American Depositary Shares, which represents 3,623,582 Ordinary Shares of the Issuer.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 directly holds 57,750 American Depositary Shares, which represents 115,500 Ordinary Shares of the Issuer. FHMLS X, L.P. is the general partner of FLS X and FHMLS X, L.L.C. is the general partner of FHMLS X, L.P. Heron and Topper are the members of FHMLS X, L.L.C. and therefore share voting and investment power over the securities directly held by FLS X. FLS XI directly holds 30,447 Ordinary Shares of the Issuer and 153,771 American Depositary Shares, which represents 307,542 Ordinary Shares of the Issuer. FHMLS XI, L.P. is the general partner of FLS XI and the general partner of FHMLS XI, L.P. is FHMLS XI, L.L.C., which is managed by an investment committee of three that acts by majority vote. Accordingly,</w:t>
      </w:r>
    </w:p>
    <w:p>
      <w:pPr>
        <w:spacing w:after="0" w:line="6" w:lineRule="exact"/>
        <w:rPr>
          <w:sz w:val="20"/>
          <w:szCs w:val="20"/>
          <w:color w:val="auto"/>
        </w:rPr>
      </w:pPr>
    </w:p>
    <w:p>
      <w:pPr>
        <w:ind w:left="920" w:hanging="912"/>
        <w:spacing w:after="0" w:line="228" w:lineRule="auto"/>
        <w:tabs>
          <w:tab w:leader="none" w:pos="920" w:val="left"/>
        </w:tabs>
        <w:numPr>
          <w:ilvl w:val="0"/>
          <w:numId w:val="2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no members of such committee are attributed beneficial ownership of the securities directly held by FLS XI. FLS XII directly holds 381,864 Ordinary Shares of the Issuer and 268,354 American Depositary Shares, which represents 536,708 Ordinary Shares of the Issuer.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The above referenced beneficial ownership and amounts reflected on the cover pages hereto do not include certain prefunded warrants to acquire Ordinary Shares of the Issuer (the "Warrants"), the exercise of which is subject to certain beneficial ownership limitations. In this regard, (i) FLSPF holds Warrants to purchase 3,255,934 Ordinary Shares, (ii) FLS XI holds Warrants to purchase 30,447 Ordinary Shares, and (iv) FLS XII holds Warrants to purchase 381,864 Ordinary Shares, each of which cannot be exercised, if, upon giving effect to such exercise, the aggregate number of Ordinary Shares beneficially owned by the holder of such Warrant (together with its affiliates or any other persons acting as a group together with such holder) would exceed 9.99% of the number of Ordinary Shares outstanding immediately after giving effect to such exercise. Except as specifically stated herein, the filing of this Statement shall not be construed as an admission that any Reporting Person or any of the foregoing is, for the purposes of Section 13(d) and/or Section 13(g) of the Act or otherwise, the beneficial owner of any securities covered by this Statement or a member of a "group" with any other person.</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2"/>
          <w:szCs w:val="42"/>
          <w:color w:val="auto"/>
          <w:vertAlign w:val="subscript"/>
        </w:rPr>
      </w:pPr>
    </w:p>
    <w:p>
      <w:pPr>
        <w:ind w:left="920" w:right="540" w:hanging="912"/>
        <w:spacing w:after="0" w:line="185" w:lineRule="auto"/>
        <w:tabs>
          <w:tab w:leader="none" w:pos="920" w:val="left"/>
        </w:tabs>
        <w:numPr>
          <w:ilvl w:val="0"/>
          <w:numId w:val="2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(including the footnotes thereto)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(including the footnotes thereto)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20"/>
          </w:cols>
          <w:pgMar w:left="360" w:top="112" w:right="419" w:bottom="248"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60"/>
        <w:spacing w:after="0" w:line="259"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Jennifer, CFO of FHMLSP, L.L.C., GP of</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FHMLSP, L.P., GP of Frazier Life Sciences Public</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By Jennifer Martin, CFO of FHMLSP, L.L.C.</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Jennifer Martin, CFO of FHMLS X, L.L.C.,</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674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5360"/>
        <w:spacing w:after="0"/>
        <w:tabs>
          <w:tab w:leader="none" w:pos="6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Name/Title: By Jennifer Martin, CFO of FHMLS X, L.L.C.</w:t>
      </w:r>
    </w:p>
    <w:p>
      <w:pPr>
        <w:sectPr>
          <w:pgSz w:w="11900" w:h="16838" w:orient="portrait"/>
          <w:cols w:equalWidth="0" w:num="1">
            <w:col w:w="11140"/>
          </w:cols>
          <w:pgMar w:left="360" w:top="112" w:right="399" w:bottom="0" w:gutter="0" w:footer="0" w:header="0"/>
          <w:type w:val="continuous"/>
        </w:sectPr>
      </w:pPr>
    </w:p>
    <w:bookmarkStart w:id="14" w:name="page15"/>
    <w:bookmarkEnd w:id="14"/>
    <w:p>
      <w:pPr>
        <w:ind w:left="5360"/>
        <w:spacing w:after="0"/>
        <w:tabs>
          <w:tab w:leader="none" w:pos="6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Jennifer Martin, CFO of FHMLS XI, L.L.C.,</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674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XI,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Name/Title: By Jennifer Martin, CFO of FHMLS XI, L.L.C.</w:t>
      </w:r>
    </w:p>
    <w:p>
      <w:pPr>
        <w:spacing w:after="0" w:line="44"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Jennifer Martin, CFO of FHMLS XII, L.L.C.,</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GP of FHMLS XII, L.P., GP of Frazier Life</w:t>
      </w:r>
    </w:p>
    <w:p>
      <w:pPr>
        <w:ind w:left="6740"/>
        <w:spacing w:after="0"/>
        <w:rPr>
          <w:sz w:val="20"/>
          <w:szCs w:val="20"/>
          <w:color w:val="auto"/>
        </w:rPr>
      </w:pPr>
      <w:r>
        <w:rPr>
          <w:rFonts w:ascii="Times New Roman" w:cs="Times New Roman" w:eastAsia="Times New Roman" w:hAnsi="Times New Roman"/>
          <w:sz w:val="22"/>
          <w:szCs w:val="22"/>
          <w:color w:val="auto"/>
        </w:rPr>
        <w:t>Sciences XII,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FHMLS XII,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XII,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GP of FHMLS XII,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FHMLS XII, L.L.C.</w:t>
      </w:r>
    </w:p>
    <w:p>
      <w:pPr>
        <w:spacing w:after="0" w:line="152" w:lineRule="exact"/>
        <w:rPr>
          <w:sz w:val="20"/>
          <w:szCs w:val="20"/>
          <w:color w:val="auto"/>
        </w:rPr>
      </w:pPr>
    </w:p>
    <w:p>
      <w:pPr>
        <w:ind w:left="5480"/>
        <w:spacing w:after="0"/>
        <w:tabs>
          <w:tab w:leader="none" w:pos="6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By Jennifer Martin, CFO of FHMLS XII, L.L.C.</w:t>
      </w:r>
    </w:p>
    <w:p>
      <w:pPr>
        <w:spacing w:after="0" w:line="44" w:lineRule="exact"/>
        <w:rPr>
          <w:sz w:val="20"/>
          <w:szCs w:val="20"/>
          <w:color w:val="auto"/>
        </w:rPr>
      </w:pPr>
    </w:p>
    <w:p>
      <w:pPr>
        <w:ind w:left="5480"/>
        <w:spacing w:after="0"/>
        <w:tabs>
          <w:tab w:leader="none" w:pos="6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Jennifer Martin, Attorney-in-Fact for James N.</w:t>
      </w:r>
    </w:p>
    <w:p>
      <w:pPr>
        <w:jc w:val="right"/>
        <w:ind w:right="2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Topper, pursuant to a Power of Attorney, a copy</w:t>
      </w:r>
    </w:p>
    <w:p>
      <w:pPr>
        <w:jc w:val="right"/>
        <w:ind w:right="220"/>
        <w:spacing w:after="0" w:line="231" w:lineRule="auto"/>
        <w:rPr>
          <w:sz w:val="20"/>
          <w:szCs w:val="20"/>
          <w:color w:val="auto"/>
        </w:rPr>
      </w:pPr>
      <w:r>
        <w:rPr>
          <w:rFonts w:ascii="Times New Roman" w:cs="Times New Roman" w:eastAsia="Times New Roman" w:hAnsi="Times New Roman"/>
          <w:sz w:val="22"/>
          <w:szCs w:val="22"/>
          <w:color w:val="auto"/>
        </w:rPr>
        <w:t>of which was filed with the SEC on January 27,</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2026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Jennifer Martin, Attorney-in-Fact for Patrick</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Heron, pursuant to a Power of Attorney, a copy of</w:t>
      </w:r>
    </w:p>
    <w:p>
      <w:pPr>
        <w:ind w:left="6740"/>
        <w:spacing w:after="0" w:line="231" w:lineRule="auto"/>
        <w:rPr>
          <w:sz w:val="20"/>
          <w:szCs w:val="20"/>
          <w:color w:val="auto"/>
        </w:rPr>
      </w:pPr>
      <w:r>
        <w:rPr>
          <w:rFonts w:ascii="Times New Roman" w:cs="Times New Roman" w:eastAsia="Times New Roman" w:hAnsi="Times New Roman"/>
          <w:sz w:val="22"/>
          <w:szCs w:val="22"/>
          <w:color w:val="auto"/>
        </w:rPr>
        <w:t>which was filed with the SEC on January 27,</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2026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08" w:lineRule="exact"/>
        <w:rPr>
          <w:sz w:val="20"/>
          <w:szCs w:val="20"/>
          <w:color w:val="auto"/>
        </w:rPr>
      </w:pPr>
    </w:p>
    <w:p>
      <w:pPr>
        <w:jc w:val="center"/>
        <w:ind w:right="80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00"/>
          </w:cols>
          <w:pgMar w:left="360" w:top="112" w:right="439" w:bottom="856"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Ordinary Shares of Valneva 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602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r>
      <w:tr>
        <w:trPr>
          <w:trHeight w:val="243"/>
        </w:trPr>
        <w:tc>
          <w:tcPr>
            <w:tcW w:w="3160" w:type="dxa"/>
            <w:vAlign w:val="bottom"/>
          </w:tcPr>
          <w:p>
            <w:pPr>
              <w:spacing w:after="0"/>
              <w:rPr>
                <w:sz w:val="21"/>
                <w:szCs w:val="21"/>
                <w:color w:val="auto"/>
              </w:rPr>
            </w:pPr>
          </w:p>
        </w:tc>
        <w:tc>
          <w:tcPr>
            <w:tcW w:w="602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r>
      <w:tr>
        <w:trPr>
          <w:trHeight w:val="282"/>
        </w:trPr>
        <w:tc>
          <w:tcPr>
            <w:tcW w:w="3160" w:type="dxa"/>
            <w:vAlign w:val="bottom"/>
          </w:tcPr>
          <w:p>
            <w:pPr>
              <w:spacing w:after="0"/>
              <w:rPr>
                <w:sz w:val="24"/>
                <w:szCs w:val="24"/>
                <w:color w:val="auto"/>
              </w:rPr>
            </w:pPr>
          </w:p>
        </w:tc>
        <w:tc>
          <w:tcPr>
            <w:tcW w:w="602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60" w:type="dxa"/>
            <w:vAlign w:val="bottom"/>
          </w:tcPr>
          <w:p>
            <w:pPr>
              <w:spacing w:after="0"/>
              <w:rPr>
                <w:sz w:val="24"/>
                <w:szCs w:val="24"/>
                <w:color w:val="auto"/>
              </w:rPr>
            </w:pPr>
          </w:p>
        </w:tc>
        <w:tc>
          <w:tcPr>
            <w:tcW w:w="602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L.P.</w:t>
            </w:r>
          </w:p>
        </w:tc>
      </w:tr>
      <w:tr>
        <w:trPr>
          <w:trHeight w:val="282"/>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r>
        <w:trPr>
          <w:trHeight w:val="4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L.L.C.</w:t>
            </w:r>
          </w:p>
        </w:tc>
      </w:tr>
      <w:tr>
        <w:trPr>
          <w:trHeight w:val="433"/>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r>
        <w:trPr>
          <w:trHeight w:val="44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r>
      <w:tr>
        <w:trPr>
          <w:trHeight w:val="243"/>
        </w:trPr>
        <w:tc>
          <w:tcPr>
            <w:tcW w:w="3160" w:type="dxa"/>
            <w:vAlign w:val="bottom"/>
          </w:tcPr>
          <w:p>
            <w:pPr>
              <w:spacing w:after="0"/>
              <w:rPr>
                <w:sz w:val="21"/>
                <w:szCs w:val="21"/>
                <w:color w:val="auto"/>
              </w:rPr>
            </w:pPr>
          </w:p>
        </w:tc>
        <w:tc>
          <w:tcPr>
            <w:tcW w:w="808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r>
      <w:tr>
        <w:trPr>
          <w:trHeight w:val="282"/>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 X, L.L.C., its General Partner</w:t>
            </w:r>
          </w:p>
        </w:tc>
      </w:tr>
      <w:tr>
        <w:trPr>
          <w:trHeight w:val="434"/>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r>
        <w:trPr>
          <w:trHeight w:val="44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 L.P.</w:t>
            </w:r>
          </w:p>
        </w:tc>
      </w:tr>
      <w:tr>
        <w:trPr>
          <w:trHeight w:val="282"/>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 X, L.L.C., its General Partner</w:t>
            </w:r>
          </w:p>
        </w:tc>
      </w:tr>
      <w:tr>
        <w:trPr>
          <w:trHeight w:val="434"/>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r>
        <w:trPr>
          <w:trHeight w:val="4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 L.L.C.</w:t>
            </w:r>
          </w:p>
        </w:tc>
      </w:tr>
      <w:tr>
        <w:trPr>
          <w:trHeight w:val="434"/>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r>
        <w:trPr>
          <w:trHeight w:val="44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r>
      <w:tr>
        <w:trPr>
          <w:trHeight w:val="243"/>
        </w:trPr>
        <w:tc>
          <w:tcPr>
            <w:tcW w:w="3160" w:type="dxa"/>
            <w:vAlign w:val="bottom"/>
          </w:tcPr>
          <w:p>
            <w:pPr>
              <w:spacing w:after="0"/>
              <w:rPr>
                <w:sz w:val="21"/>
                <w:szCs w:val="21"/>
                <w:color w:val="auto"/>
              </w:rPr>
            </w:pPr>
          </w:p>
        </w:tc>
        <w:tc>
          <w:tcPr>
            <w:tcW w:w="808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r>
      <w:tr>
        <w:trPr>
          <w:trHeight w:val="282"/>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 XI, L.L.C., its General Partner</w:t>
            </w:r>
          </w:p>
        </w:tc>
      </w:tr>
      <w:tr>
        <w:trPr>
          <w:trHeight w:val="433"/>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r>
        <w:trPr>
          <w:trHeight w:val="825"/>
        </w:trPr>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49"/>
        </w:trPr>
        <w:tc>
          <w:tcPr>
            <w:tcW w:w="3160" w:type="dxa"/>
            <w:vAlign w:val="bottom"/>
            <w:shd w:val="clear" w:color="auto" w:fill="808080"/>
          </w:tcPr>
          <w:p>
            <w:pPr>
              <w:spacing w:after="0"/>
              <w:rPr>
                <w:sz w:val="12"/>
                <w:szCs w:val="12"/>
                <w:color w:val="auto"/>
              </w:rPr>
            </w:pPr>
          </w:p>
        </w:tc>
        <w:tc>
          <w:tcPr>
            <w:tcW w:w="1700" w:type="dxa"/>
            <w:vAlign w:val="bottom"/>
            <w:shd w:val="clear" w:color="auto" w:fill="808080"/>
          </w:tcPr>
          <w:p>
            <w:pPr>
              <w:spacing w:after="0"/>
              <w:rPr>
                <w:sz w:val="12"/>
                <w:szCs w:val="12"/>
                <w:color w:val="auto"/>
              </w:rPr>
            </w:pPr>
          </w:p>
        </w:tc>
        <w:tc>
          <w:tcPr>
            <w:tcW w:w="1640" w:type="dxa"/>
            <w:vAlign w:val="bottom"/>
            <w:shd w:val="clear" w:color="auto" w:fill="808080"/>
          </w:tcPr>
          <w:p>
            <w:pPr>
              <w:spacing w:after="0"/>
              <w:rPr>
                <w:sz w:val="12"/>
                <w:szCs w:val="12"/>
                <w:color w:val="auto"/>
              </w:rPr>
            </w:pPr>
          </w:p>
        </w:tc>
        <w:tc>
          <w:tcPr>
            <w:tcW w:w="4740" w:type="dxa"/>
            <w:vAlign w:val="bottom"/>
            <w:shd w:val="clear" w:color="auto" w:fill="808080"/>
          </w:tcPr>
          <w:p>
            <w:pPr>
              <w:spacing w:after="0"/>
              <w:rPr>
                <w:sz w:val="12"/>
                <w:szCs w:val="12"/>
                <w:color w:val="auto"/>
              </w:rPr>
            </w:pPr>
          </w:p>
        </w:tc>
      </w:tr>
    </w:tbl>
    <w:p>
      <w:pPr>
        <w:sectPr>
          <w:pgSz w:w="11900" w:h="16838" w:orient="portrait"/>
          <w:cols w:equalWidth="0" w:num="1">
            <w:col w:w="11240"/>
          </w:cols>
          <w:pgMar w:left="320" w:top="351"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 L.P.</w:t>
            </w:r>
          </w:p>
        </w:tc>
      </w:tr>
      <w:tr>
        <w:trPr>
          <w:trHeight w:val="282"/>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w w:val="99"/>
              </w:rPr>
              <w:t>By: FHMLS XI, L.L.C., its General Partner</w:t>
            </w:r>
          </w:p>
        </w:tc>
      </w:tr>
      <w:tr>
        <w:trPr>
          <w:trHeight w:val="433"/>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4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 L.L.C.</w:t>
            </w:r>
          </w:p>
        </w:tc>
      </w:tr>
      <w:tr>
        <w:trPr>
          <w:trHeight w:val="433"/>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44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XII, L.P.</w:t>
            </w:r>
          </w:p>
        </w:tc>
      </w:tr>
      <w:tr>
        <w:trPr>
          <w:trHeight w:val="243"/>
        </w:trPr>
        <w:tc>
          <w:tcPr>
            <w:tcW w:w="3160" w:type="dxa"/>
            <w:vAlign w:val="bottom"/>
          </w:tcPr>
          <w:p>
            <w:pPr>
              <w:spacing w:after="0"/>
              <w:rPr>
                <w:sz w:val="21"/>
                <w:szCs w:val="21"/>
                <w:color w:val="auto"/>
              </w:rPr>
            </w:pPr>
          </w:p>
        </w:tc>
        <w:tc>
          <w:tcPr>
            <w:tcW w:w="5220" w:type="dxa"/>
            <w:vAlign w:val="bottom"/>
            <w:gridSpan w:val="5"/>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XII, L.P., its General Partner</w:t>
            </w:r>
          </w:p>
        </w:tc>
      </w:tr>
      <w:tr>
        <w:trPr>
          <w:trHeight w:val="282"/>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w w:val="97"/>
              </w:rPr>
              <w:t>By: FHMLS XII, L.L.C., its General Partner</w:t>
            </w:r>
          </w:p>
        </w:tc>
      </w:tr>
      <w:tr>
        <w:trPr>
          <w:trHeight w:val="433"/>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44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XII, L.P.</w:t>
            </w:r>
          </w:p>
        </w:tc>
      </w:tr>
      <w:tr>
        <w:trPr>
          <w:trHeight w:val="282"/>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w w:val="97"/>
              </w:rPr>
              <w:t>By: FHMLS XII, L.L.C., its General Partner</w:t>
            </w:r>
          </w:p>
        </w:tc>
      </w:tr>
      <w:tr>
        <w:trPr>
          <w:trHeight w:val="434"/>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4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XII, L.L.C.</w:t>
            </w:r>
          </w:p>
        </w:tc>
      </w:tr>
      <w:tr>
        <w:trPr>
          <w:trHeight w:val="434"/>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43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75"/>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James N. Topper</w:t>
            </w:r>
          </w:p>
        </w:tc>
      </w:tr>
      <w:tr>
        <w:trPr>
          <w:trHeight w:val="434"/>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75"/>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Patrick J. Heron</w:t>
            </w:r>
          </w:p>
        </w:tc>
      </w:tr>
      <w:tr>
        <w:trPr>
          <w:trHeight w:val="434"/>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12,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5"/>
              </w:rPr>
              <w:t>Jennifer Martin, as</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Attorney-in-Fact</w:t>
            </w:r>
          </w:p>
        </w:tc>
      </w:tr>
    </w:tbl>
    <w:p>
      <w:pPr>
        <w:spacing w:after="0" w:line="200" w:lineRule="exact"/>
        <w:rPr>
          <w:sz w:val="20"/>
          <w:szCs w:val="20"/>
          <w:color w:val="auto"/>
        </w:rPr>
      </w:pPr>
    </w:p>
    <w:p>
      <w:pPr>
        <w:spacing w:after="0" w:line="246" w:lineRule="exact"/>
        <w:rPr>
          <w:sz w:val="20"/>
          <w:szCs w:val="20"/>
          <w:color w:val="auto"/>
        </w:rPr>
      </w:pPr>
    </w:p>
    <w:p>
      <w:pPr>
        <w:ind w:firstLine="8"/>
        <w:spacing w:after="0" w:line="258" w:lineRule="auto"/>
        <w:tabs>
          <w:tab w:leader="none" w:pos="16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Filing Agreement was executed by Jennifer Martin on behalf of the individuals listed above pursuant to a Power of Attorney, a copy of which was filed with the SEC on January 27, 2026.</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2"/>
      <w:numFmt w:val="bullet"/>
      <w:start w:val="1"/>
    </w:lvl>
  </w:abstractNum>
  <w:abstractNum w:abstractNumId="1">
    <w:nsid w:val="DED7263"/>
    <w:multiLevelType w:val="hybridMultilevel"/>
    <w:lvl w:ilvl="0">
      <w:lvlJc w:val="left"/>
      <w:lvlText w:val="3"/>
      <w:numFmt w:val="bullet"/>
      <w:start w:val="1"/>
    </w:lvl>
  </w:abstractNum>
  <w:abstractNum w:abstractNumId="2">
    <w:nsid w:val="7FDCC233"/>
    <w:multiLevelType w:val="hybridMultilevel"/>
    <w:lvl w:ilvl="0">
      <w:lvlJc w:val="left"/>
      <w:lvlText w:val="2"/>
      <w:numFmt w:val="bullet"/>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2"/>
      <w:numFmt w:val="bullet"/>
      <w:start w:val="1"/>
    </w:lvl>
  </w:abstractNum>
  <w:abstractNum w:abstractNumId="5">
    <w:nsid w:val="6B68079A"/>
    <w:multiLevelType w:val="hybridMultilevel"/>
    <w:lvl w:ilvl="0">
      <w:lvlJc w:val="left"/>
      <w:lvlText w:val="2"/>
      <w:numFmt w:val="bullet"/>
      <w:start w:val="1"/>
    </w:lvl>
  </w:abstractNum>
  <w:abstractNum w:abstractNumId="6">
    <w:nsid w:val="4E6AFB66"/>
    <w:multiLevelType w:val="hybridMultilevel"/>
    <w:lvl w:ilvl="0">
      <w:lvlJc w:val="left"/>
      <w:lvlText w:val="2"/>
      <w:numFmt w:val="bullet"/>
      <w:start w:val="1"/>
    </w:lvl>
  </w:abstractNum>
  <w:abstractNum w:abstractNumId="7">
    <w:nsid w:val="25E45D32"/>
    <w:multiLevelType w:val="hybridMultilevel"/>
    <w:lvl w:ilvl="0">
      <w:lvlJc w:val="left"/>
      <w:lvlText w:val="3"/>
      <w:numFmt w:val="bullet"/>
      <w:start w:val="1"/>
    </w:lvl>
  </w:abstractNum>
  <w:abstractNum w:abstractNumId="8">
    <w:nsid w:val="519B500D"/>
    <w:multiLevelType w:val="hybridMultilevel"/>
    <w:lvl w:ilvl="0">
      <w:lvlJc w:val="left"/>
      <w:lvlText w:val="5"/>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9"/>
      <w:numFmt w:val="bullet"/>
      <w:start w:val="1"/>
    </w:lvl>
  </w:abstractNum>
  <w:abstractNum w:abstractNumId="12">
    <w:nsid w:val="257130A3"/>
    <w:multiLevelType w:val="hybridMultilevel"/>
    <w:lvl w:ilvl="0">
      <w:lvlJc w:val="left"/>
      <w:lvlText w:val="2"/>
      <w:numFmt w:val="bullet"/>
      <w:start w:val="1"/>
    </w:lvl>
  </w:abstractNum>
  <w:abstractNum w:abstractNumId="13">
    <w:nsid w:val="62BBD95A"/>
    <w:multiLevelType w:val="hybridMultilevel"/>
    <w:lvl w:ilvl="0">
      <w:lvlJc w:val="left"/>
      <w:lvlText w:val="2"/>
      <w:numFmt w:val="bullet"/>
      <w:start w:val="1"/>
    </w:lvl>
  </w:abstractNum>
  <w:abstractNum w:abstractNumId="14">
    <w:nsid w:val="436C6125"/>
    <w:multiLevelType w:val="hybridMultilevel"/>
    <w:lvl w:ilvl="0">
      <w:lvlJc w:val="left"/>
      <w:lvlText w:val="2"/>
      <w:numFmt w:val="bullet"/>
      <w:start w:val="1"/>
    </w:lvl>
  </w:abstractNum>
  <w:abstractNum w:abstractNumId="15">
    <w:nsid w:val="628C895D"/>
    <w:multiLevelType w:val="hybridMultilevel"/>
    <w:lvl w:ilvl="0">
      <w:lvlJc w:val="left"/>
      <w:lvlText w:val="3"/>
      <w:numFmt w:val="bullet"/>
      <w:start w:val="1"/>
    </w:lvl>
  </w:abstractNum>
  <w:abstractNum w:abstractNumId="16">
    <w:nsid w:val="333AB105"/>
    <w:multiLevelType w:val="hybridMultilevel"/>
    <w:lvl w:ilvl="0">
      <w:lvlJc w:val="left"/>
      <w:lvlText w:val="2"/>
      <w:numFmt w:val="bullet"/>
      <w:start w:val="1"/>
    </w:lvl>
  </w:abstractNum>
  <w:abstractNum w:abstractNumId="17">
    <w:nsid w:val="721DA317"/>
    <w:multiLevelType w:val="hybridMultilevel"/>
    <w:lvl w:ilvl="0">
      <w:lvlJc w:val="left"/>
      <w:lvlText w:val="3"/>
      <w:numFmt w:val="bullet"/>
      <w:start w:val="1"/>
    </w:lvl>
  </w:abstractNum>
  <w:abstractNum w:abstractNumId="18">
    <w:nsid w:val="2443A858"/>
    <w:multiLevelType w:val="hybridMultilevel"/>
    <w:lvl w:ilvl="0">
      <w:lvlJc w:val="left"/>
      <w:lvlText w:val="2"/>
      <w:numFmt w:val="bullet"/>
      <w:start w:val="1"/>
    </w:lvl>
  </w:abstractNum>
  <w:abstractNum w:abstractNumId="19">
    <w:nsid w:val="2D1D5AE9"/>
    <w:multiLevelType w:val="hybridMultilevel"/>
    <w:lvl w:ilvl="0">
      <w:lvlJc w:val="left"/>
      <w:lvlText w:val="2"/>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2"/>
      <w:numFmt w:val="bullet"/>
      <w:start w:val="1"/>
    </w:lvl>
  </w:abstractNum>
  <w:abstractNum w:abstractNumId="22">
    <w:nsid w:val="8EDBDAB"/>
    <w:multiLevelType w:val="hybridMultilevel"/>
    <w:lvl w:ilvl="0">
      <w:lvlJc w:val="left"/>
      <w:lvlText w:val="3"/>
      <w:numFmt w:val="bullet"/>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2026-05-12T15:38:10Z</dcterms:created>
  <dcterms:modified xsi:type="dcterms:W3CDTF">2026-05-12T15:38:10Z</dcterms:modified>
</cp:coreProperties>
</file>