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both"/>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before="1" w:after="1"/>
        <w:jc w:val="center"/>
        <w:rPr/>
      </w:pPr>
      <w:r>
        <w:rPr/>
      </w:r>
    </w:p>
    <w:p>
      <w:pPr>
        <w:pStyle w:val="TextBody"/>
        <w:bidi w:val="0"/>
        <w:spacing w:lineRule="auto" w:line="240" w:before="7" w:after="283"/>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PURSUANT TO RULE 13a-16 OR 15d-16 UNDER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19" w:before="1" w:after="1"/>
        <w:jc w:val="center"/>
        <w:rPr>
          <w:rFonts w:ascii="Times New Roman;serif" w:hAnsi="Times New Roman;serif"/>
          <w:b/>
          <w:color w:val="000000"/>
          <w:sz w:val="20"/>
        </w:rPr>
      </w:pPr>
      <w:r>
        <w:rPr>
          <w:rFonts w:ascii="Times New Roman;serif" w:hAnsi="Times New Roman;serif"/>
          <w:b/>
          <w:color w:val="000000"/>
          <w:sz w:val="20"/>
        </w:rPr>
        <w:t>Date of Report: July 22, 2026</w:t>
      </w:r>
    </w:p>
    <w:p>
      <w:pPr>
        <w:pStyle w:val="TextBody"/>
        <w:bidi w:val="0"/>
        <w:spacing w:before="1" w:after="1"/>
        <w:jc w:val="center"/>
        <w:rPr/>
      </w:pPr>
      <w:r>
        <w:rPr/>
      </w:r>
    </w:p>
    <w:p>
      <w:pPr>
        <w:pStyle w:val="TextBody"/>
        <w:bidi w:val="0"/>
        <w:spacing w:lineRule="auto" w:line="319" w:before="1" w:after="1"/>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001-40377</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4"/>
        </w:rPr>
      </w:pPr>
      <w:r>
        <w:rPr>
          <w:rFonts w:ascii="Times New Roman;serif" w:hAnsi="Times New Roman;serif"/>
          <w:b/>
          <w:color w:val="000000"/>
          <w:sz w:val="24"/>
        </w:rPr>
        <w:t>Valneva SE</w:t>
      </w:r>
    </w:p>
    <w:p>
      <w:pPr>
        <w:pStyle w:val="TextBody"/>
        <w:bidi w:val="0"/>
        <w:spacing w:lineRule="auto" w:line="240" w:before="16"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11" w:after="283"/>
        <w:jc w:val="left"/>
        <w:rPr/>
      </w:pPr>
      <w:r>
        <w:rPr/>
      </w:r>
    </w:p>
    <w:p>
      <w:pPr>
        <w:pStyle w:val="TextBody"/>
        <w:bidi w:val="0"/>
        <w:spacing w:lineRule="auto" w:line="307" w:before="0" w:after="0"/>
        <w:jc w:val="center"/>
        <w:rPr>
          <w:rFonts w:ascii="Times New Roman;serif" w:hAnsi="Times New Roman;serif"/>
          <w:b/>
          <w:color w:val="000000"/>
          <w:sz w:val="16"/>
        </w:rPr>
      </w:pPr>
      <w:r>
        <w:rPr>
          <w:rFonts w:ascii="Times New Roman;serif" w:hAnsi="Times New Roman;serif"/>
          <w:b/>
          <w:color w:val="000000"/>
          <w:sz w:val="16"/>
        </w:rPr>
        <w:t>Îlot Saint-Joseph, Bureaux Convergence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12ter Quai Perrache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69002 Lyon, France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before="0" w:after="0"/>
        <w:jc w:val="both"/>
        <w:rPr/>
      </w:pPr>
      <w:r>
        <w:rPr/>
      </w:r>
    </w:p>
    <w:p>
      <w:pPr>
        <w:pStyle w:val="TextBody"/>
        <w:bidi w:val="0"/>
        <w:spacing w:lineRule="auto" w:line="240" w:before="1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before="10" w:after="283"/>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22, 2026, the Registrant issued a press release, a copy of which is attached hereto as Exhibit 99.1. The information contained in this Form 6-K is hereby incorporated by reference into the registrant's registration Statement on Form F-3 (File No. 333-268071).</w:t>
      </w:r>
    </w:p>
    <w:p>
      <w:pPr>
        <w:pStyle w:val="TextBody"/>
        <w:bidi w:val="0"/>
        <w:spacing w:before="0" w:after="0"/>
        <w:jc w:val="both"/>
        <w:rPr/>
      </w:pPr>
      <w:r>
        <w:rPr/>
      </w:r>
    </w:p>
    <w:tbl>
      <w:tblPr>
        <w:tblW w:w="3944" w:type="dxa"/>
        <w:jc w:val="left"/>
        <w:tblInd w:w="0" w:type="dxa"/>
        <w:tblLayout w:type="fixed"/>
        <w:tblCellMar>
          <w:top w:w="28" w:type="dxa"/>
          <w:left w:w="28" w:type="dxa"/>
          <w:bottom w:w="28" w:type="dxa"/>
          <w:right w:w="28" w:type="dxa"/>
        </w:tblCellMar>
      </w:tblPr>
      <w:tblGrid>
        <w:gridCol w:w="413"/>
        <w:gridCol w:w="363"/>
        <w:gridCol w:w="364"/>
        <w:gridCol w:w="818"/>
        <w:gridCol w:w="818"/>
        <w:gridCol w:w="1168"/>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Exhibit 99.1</w:t>
            </w:r>
          </w:p>
        </w:tc>
        <w:tc>
          <w:tcPr>
            <w:tcW w:w="2804"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a2026_07x22xh1x2026xresult.htm">
              <w:r>
                <w:rPr>
                  <w:rStyle w:val="InternetLink"/>
                  <w:rFonts w:ascii="Times New Roman;serif" w:hAnsi="Times New Roman;serif"/>
                  <w:b w:val="false"/>
                  <w:color w:val="0000FF"/>
                  <w:sz w:val="20"/>
                  <w:u w:val="single"/>
                </w:rPr>
                <w:t>Press release dated July 22, 2026</w:t>
              </w:r>
            </w:hyperlink>
          </w:p>
        </w:tc>
      </w:tr>
    </w:tbl>
    <w:p>
      <w:pPr>
        <w:pStyle w:val="TextBody"/>
        <w:bidi w:val="0"/>
        <w:spacing w:before="1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895"/>
                <wp:effectExtent l="0" t="0" r="0" b="0"/>
                <wp:wrapNone/>
                <wp:docPr id="1" name="Frame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554"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9"/>
        <w:gridCol w:w="109"/>
        <w:gridCol w:w="109"/>
        <w:gridCol w:w="109"/>
        <w:gridCol w:w="109"/>
        <w:gridCol w:w="109"/>
        <w:gridCol w:w="109"/>
        <w:gridCol w:w="109"/>
        <w:gridCol w:w="109"/>
        <w:gridCol w:w="1054"/>
        <w:gridCol w:w="1054"/>
        <w:gridCol w:w="1057"/>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u w:val="single"/>
              </w:rPr>
              <w:t>Valneva SE</w:t>
            </w:r>
            <w:r>
              <w:rPr>
                <w:color w:val="000000"/>
              </w:rPr>
              <w:t xml:space="preserve">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Date: 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val="false"/>
                <w:color w:val="000000"/>
                <w:sz w:val="20"/>
                <w:u w:val="single"/>
              </w:rPr>
              <w:t>/s/ Thomas Lingelbach</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Thomas Lingelbach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right"/>
        <w:rPr/>
      </w:pPr>
      <w:r>
        <w:rPr/>
      </w:r>
    </w:p>
    <w:p>
      <w:pPr>
        <w:pStyle w:val="TextBody"/>
        <w:bidi w:val="0"/>
        <w:spacing w:before="1" w:after="1"/>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895"/>
                <wp:effectExtent l="0" t="0" r="0" b="0"/>
                <wp:wrapNone/>
                <wp:docPr id="2" name="Frame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A0CD"/>
          <w:sz w:val="32"/>
        </w:rPr>
      </w:pPr>
      <w:r>
        <w:rPr>
          <w:rFonts w:ascii="Arial;sans-serif" w:hAnsi="Arial;sans-serif"/>
          <w:b/>
          <w:color w:val="00A0CD"/>
          <w:sz w:val="32"/>
        </w:rPr>
        <w:t>Valneva to Report First Half 2026 Consolidated Financial Results on August 13, 2026</w:t>
      </w:r>
    </w:p>
    <w:p>
      <w:pPr>
        <w:pStyle w:val="TextBody"/>
        <w:bidi w:val="0"/>
        <w:spacing w:before="0" w:after="0"/>
        <w:jc w:val="both"/>
        <w:rPr/>
      </w:pPr>
      <w:r>
        <w:rPr/>
      </w:r>
    </w:p>
    <w:p>
      <w:pPr>
        <w:pStyle w:val="TextBody"/>
        <w:bidi w:val="0"/>
        <w:spacing w:lineRule="auto" w:line="288" w:before="0" w:after="160"/>
        <w:jc w:val="both"/>
        <w:rPr/>
      </w:pPr>
      <w:r>
        <w:rPr>
          <w:rFonts w:ascii="Arial;sans-serif" w:hAnsi="Arial;sans-serif"/>
          <w:b/>
          <w:color w:val="002060"/>
          <w:sz w:val="22"/>
        </w:rPr>
        <w:t>Lyon (France), July 22, 2026</w:t>
      </w:r>
      <w:r>
        <w:rPr>
          <w:color w:val="002060"/>
        </w:rPr>
        <w:t xml:space="preserve"> – </w:t>
      </w:r>
      <w:r>
        <w:rPr>
          <w:rFonts w:ascii="Arial;sans-serif" w:hAnsi="Arial;sans-serif"/>
          <w:b w:val="false"/>
          <w:color w:val="000000"/>
          <w:sz w:val="22"/>
        </w:rPr>
        <w:t>Valneva SE</w:t>
      </w:r>
      <w:r>
        <w:rPr>
          <w:color w:val="002060"/>
        </w:rPr>
        <w:t xml:space="preserve"> </w:t>
      </w:r>
      <w:r>
        <w:rPr>
          <w:rFonts w:ascii="Arial;sans-serif" w:hAnsi="Arial;sans-serif"/>
          <w:b w:val="false"/>
          <w:color w:val="002060"/>
          <w:sz w:val="22"/>
        </w:rPr>
        <w:t>(Nasdaq: VALN; Euronext Paris: VLA), a specialty vaccine company, today announced that it will report its first half 2026 financial results on Thursday, August 13, 2026. The Company will host a live webcast beginning at 3 p.m. CET/9 a.m. ET to discuss the financial results and provide a business update.</w:t>
      </w:r>
    </w:p>
    <w:p>
      <w:pPr>
        <w:pStyle w:val="TextBody"/>
        <w:bidi w:val="0"/>
        <w:spacing w:lineRule="auto" w:line="288" w:before="0" w:after="160"/>
        <w:jc w:val="both"/>
        <w:rPr/>
      </w:pPr>
      <w:r>
        <w:rPr>
          <w:rFonts w:ascii="Arial;sans-serif" w:hAnsi="Arial;sans-serif"/>
          <w:b w:val="false"/>
          <w:color w:val="002060"/>
          <w:sz w:val="22"/>
        </w:rPr>
        <w:t xml:space="preserve">The live webcast will be accessible on the Company’s website and made available as an archive after the event concludes. Please refer to this link: </w:t>
      </w:r>
      <w:r>
        <w:rPr>
          <w:rFonts w:ascii="Arial;sans-serif" w:hAnsi="Arial;sans-serif"/>
          <w:b w:val="false"/>
          <w:color w:val="000000"/>
          <w:sz w:val="22"/>
        </w:rPr>
        <w:t xml:space="preserve">https://edge.media-server.com/mmc/p/zd7jniit/lan/en </w:t>
      </w:r>
    </w:p>
    <w:p>
      <w:pPr>
        <w:pStyle w:val="TextBody"/>
        <w:bidi w:val="0"/>
        <w:spacing w:lineRule="auto" w:line="319" w:before="0" w:after="0"/>
        <w:jc w:val="both"/>
        <w:rPr>
          <w:rFonts w:ascii="Arial;sans-serif" w:hAnsi="Arial;sans-serif"/>
          <w:b/>
          <w:color w:val="002060"/>
          <w:sz w:val="22"/>
        </w:rPr>
      </w:pPr>
      <w:r>
        <w:rPr>
          <w:rFonts w:ascii="Arial;sans-serif" w:hAnsi="Arial;sans-serif"/>
          <w:b/>
          <w:color w:val="002060"/>
          <w:sz w:val="22"/>
        </w:rPr>
        <w:t>About Valneva SE</w:t>
      </w:r>
    </w:p>
    <w:p>
      <w:pPr>
        <w:pStyle w:val="TextBody"/>
        <w:bidi w:val="0"/>
        <w:spacing w:lineRule="auto" w:line="300" w:before="0" w:after="0"/>
        <w:jc w:val="both"/>
        <w:rPr>
          <w:rFonts w:ascii="Arial;sans-serif" w:hAnsi="Arial;sans-serif"/>
          <w:b w:val="false"/>
          <w:color w:val="002060"/>
          <w:sz w:val="22"/>
        </w:rPr>
      </w:pPr>
      <w:r>
        <w:rPr>
          <w:rFonts w:ascii="Arial;sans-serif" w:hAnsi="Arial;sans-serif"/>
          <w:b w:val="false"/>
          <w:color w:val="002060"/>
          <w:sz w:val="22"/>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pStyle w:val="TextBody"/>
        <w:bidi w:val="0"/>
        <w:spacing w:lineRule="auto" w:line="300" w:before="0" w:after="0"/>
        <w:jc w:val="both"/>
        <w:rPr>
          <w:rFonts w:ascii="Arial;sans-serif" w:hAnsi="Arial;sans-serif"/>
          <w:b w:val="false"/>
          <w:color w:val="002060"/>
          <w:sz w:val="22"/>
        </w:rPr>
      </w:pPr>
      <w:r>
        <w:rPr>
          <w:rFonts w:ascii="Arial;sans-serif" w:hAnsi="Arial;sans-serif"/>
          <w:b w:val="false"/>
          <w:color w:val="002060"/>
          <w:sz w:val="22"/>
        </w:rPr>
        <w:t>We have a strong track record, having advanced multiple vaccines from early R&amp;D to approvals, and currently market three proprietary travel vaccines.</w:t>
      </w:r>
    </w:p>
    <w:p>
      <w:pPr>
        <w:pStyle w:val="TextBody"/>
        <w:bidi w:val="0"/>
        <w:spacing w:lineRule="auto" w:line="300" w:before="0" w:after="0"/>
        <w:jc w:val="both"/>
        <w:rPr/>
      </w:pPr>
      <w:r>
        <w:rPr>
          <w:rFonts w:ascii="Arial;sans-serif" w:hAnsi="Arial;sans-serif"/>
          <w:b w:val="false"/>
          <w:color w:val="002060"/>
          <w:sz w:val="22"/>
        </w:rPr>
        <w:t xml:space="preserve">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at </w:t>
      </w:r>
      <w:r>
        <w:rPr>
          <w:rFonts w:ascii="Arial;sans-serif" w:hAnsi="Arial;sans-serif"/>
          <w:b w:val="false"/>
          <w:color w:val="000000"/>
          <w:sz w:val="22"/>
        </w:rPr>
        <w:t>www.valneva.com</w:t>
      </w:r>
      <w:r>
        <w:rPr>
          <w:rFonts w:ascii="Arial;sans-serif" w:hAnsi="Arial;sans-serif"/>
          <w:b w:val="false"/>
          <w:color w:val="002060"/>
          <w:sz w:val="22"/>
        </w:rPr>
        <w:t xml:space="preserve">. </w:t>
      </w:r>
    </w:p>
    <w:p>
      <w:pPr>
        <w:pStyle w:val="TextBody"/>
        <w:bidi w:val="0"/>
        <w:spacing w:before="0" w:after="0"/>
        <w:jc w:val="both"/>
        <w:rPr/>
      </w:pPr>
      <w:r>
        <w:rPr/>
      </w:r>
    </w:p>
    <w:tbl>
      <w:tblPr>
        <w:tblW w:w="9862" w:type="dxa"/>
        <w:jc w:val="left"/>
        <w:tblInd w:w="0" w:type="dxa"/>
        <w:tblLayout w:type="fixed"/>
        <w:tblCellMar>
          <w:top w:w="28" w:type="dxa"/>
          <w:left w:w="28" w:type="dxa"/>
          <w:bottom w:w="28" w:type="dxa"/>
          <w:right w:w="28" w:type="dxa"/>
        </w:tblCellMar>
      </w:tblPr>
      <w:tblGrid>
        <w:gridCol w:w="2218"/>
        <w:gridCol w:w="1950"/>
        <w:gridCol w:w="1951"/>
        <w:gridCol w:w="1014"/>
        <w:gridCol w:w="1014"/>
        <w:gridCol w:w="1016"/>
        <w:gridCol w:w="109"/>
        <w:gridCol w:w="109"/>
        <w:gridCol w:w="109"/>
        <w:gridCol w:w="109"/>
        <w:gridCol w:w="109"/>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lineRule="auto" w:line="304" w:before="0" w:after="0"/>
              <w:jc w:val="left"/>
              <w:rPr>
                <w:rFonts w:ascii="Arial;sans-serif" w:hAnsi="Arial;sans-serif"/>
                <w:b/>
                <w:color w:val="002060"/>
                <w:sz w:val="22"/>
              </w:rPr>
            </w:pPr>
            <w:r>
              <w:rPr>
                <w:rFonts w:ascii="Arial;sans-serif" w:hAnsi="Arial;sans-serif"/>
                <w:b/>
                <w:color w:val="002060"/>
                <w:sz w:val="22"/>
              </w:rPr>
              <w:t>Valneva Investor and Media Contacts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Laetitia Bachelot-Fontaine</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VP, Global Communications and European Investor Relations</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+33 (0)6 4516 7099</w:t>
            </w:r>
          </w:p>
          <w:p>
            <w:pPr>
              <w:pStyle w:val="TableContents"/>
              <w:bidi w:val="0"/>
              <w:spacing w:lineRule="auto" w:line="333" w:before="0" w:after="0"/>
              <w:jc w:val="left"/>
              <w:rPr/>
            </w:pPr>
            <w:r>
              <w:rPr>
                <w:rFonts w:ascii="Arial;sans-serif" w:hAnsi="Arial;sans-serif"/>
                <w:b w:val="false"/>
                <w:color w:val="002060"/>
                <w:sz w:val="22"/>
              </w:rPr>
              <w:t>Laetitia.BachelotFontaine@valneva.com</w:t>
            </w:r>
            <w:r>
              <w:rPr>
                <w:color w:val="000000"/>
              </w:rPr>
              <w:t xml:space="preserve"> </w:t>
            </w:r>
          </w:p>
        </w:tc>
        <w:tc>
          <w:tcPr>
            <w:tcW w:w="3044"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Joshua Drumm, Ph.D.</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 xml:space="preserve">VP, Global Investor Relations </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M +001 917 815 4520</w:t>
            </w:r>
          </w:p>
          <w:p>
            <w:pPr>
              <w:pStyle w:val="TableContents"/>
              <w:bidi w:val="0"/>
              <w:spacing w:lineRule="auto" w:line="304" w:before="0" w:after="0"/>
              <w:jc w:val="left"/>
              <w:rPr>
                <w:rFonts w:ascii="Arial;sans-serif" w:hAnsi="Arial;sans-serif"/>
                <w:b w:val="false"/>
                <w:color w:val="002060"/>
                <w:sz w:val="22"/>
              </w:rPr>
            </w:pPr>
            <w:r>
              <w:rPr>
                <w:rFonts w:ascii="Arial;sans-serif" w:hAnsi="Arial;sans-serif"/>
                <w:b w:val="false"/>
                <w:color w:val="002060"/>
                <w:sz w:val="22"/>
              </w:rPr>
              <w:t xml:space="preserve">joshua.drumm@valneva.com </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color w:val="002060"/>
              </w:rPr>
            </w:pPr>
            <w:r>
              <w:rPr>
                <w:color w:val="00206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Arial;sans-serif" w:hAnsi="Arial;sans-serif"/>
          <w:b/>
          <w:color w:val="002060"/>
          <w:sz w:val="22"/>
        </w:rPr>
      </w:pPr>
      <w:r>
        <w:rPr>
          <w:rFonts w:ascii="Arial;sans-serif" w:hAnsi="Arial;sans-serif"/>
          <w:b/>
          <w:color w:val="002060"/>
          <w:sz w:val="22"/>
        </w:rPr>
        <w:t>Forward-Looking Statements</w:t>
      </w:r>
    </w:p>
    <w:p>
      <w:pPr>
        <w:pStyle w:val="TextBody"/>
        <w:bidi w:val="0"/>
        <w:spacing w:lineRule="auto" w:line="333" w:before="0" w:after="160"/>
        <w:jc w:val="both"/>
        <w:rPr>
          <w:rFonts w:ascii="Arial;sans-serif" w:hAnsi="Arial;sans-serif"/>
          <w:b w:val="false"/>
          <w:color w:val="1E4179"/>
          <w:sz w:val="22"/>
        </w:rPr>
      </w:pPr>
      <w:r>
        <w:rPr>
          <w:rFonts w:ascii="Arial;sans-serif" w:hAnsi="Arial;sans-serif"/>
          <w:b w:val="false"/>
          <w:color w:val="1E4179"/>
          <w:sz w:val="22"/>
        </w:rPr>
        <w:t xml:space="preserve">This press release contains certain forward-looking statements relating to the business of Valneva, including with respect to business partnerships and the progress, timing, results and completion of technology transfer and regulatory approvals in additional markets. In addition, even if the actual results or development of Valneva are consistent with the forward-looking statements contained in this press release, those results or developments of Valneva may not be sustained in the future. In some cases, you can identify forward-looking statements by words such as “could,” “should,” “may,” “expects,” “anticipates,” “believes,” “intends,” “estimates,” “aims,” “targets,” or similar words. These forwardlooking statements are based largely on the current expectations of Valneva as of the date of this press release and are subject to a number of known and unknown risks and uncertainties and other factors that may cause actual results, performance or achievements to be materially different from any future results, performance or achievement expressed or implied by these forward-looking statements. In particular, the expectations of Valneva could be affected by,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160"/>
        <w:jc w:val="both"/>
        <w:rPr>
          <w:rFonts w:ascii="Arial;sans-serif" w:hAnsi="Arial;sans-serif"/>
          <w:b w:val="false"/>
          <w:color w:val="1E4179"/>
          <w:sz w:val="22"/>
        </w:rPr>
      </w:pPr>
      <w:r>
        <w:rPr>
          <w:rFonts w:ascii="Arial;sans-serif" w:hAnsi="Arial;sans-serif"/>
          <w:b w:val="false"/>
          <w:color w:val="1E4179"/>
          <w:sz w:val="22"/>
        </w:rPr>
        <w:t>among other things, uncertainties and delays involved in the development and manufacture of vaccines, unexpected clinical trial results, unexpected regulatory actions or delays, competition in general, currency fluctuations, the impact of the global and European credit crisis, and the ability to obtain or maintain patent or other proprietary intellectual property protection. Success in preclinical studies or earlier clinical trials may not be indicative of results in future clinical trials. In light of these risks and uncertainties, there can be no assurance that the forward-looking statements made in this press release will in fact be realized. Valneva is providing this information as of the date of this press release and disclaims any intention or obligation to publicly update or revise any forward-looking statements, whether as a result of new information, future events,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0520"/>
                <wp:effectExtent l="0" t="0" r="0" b="0"/>
                <wp:wrapNone/>
                <wp:docPr id="4"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748</Words>
  <Characters>4413</Characters>
  <CharactersWithSpaces>5134</CharactersWithSpaces>
  <Paragraphs>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