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May 28, 2026</w:t>
      </w:r>
    </w:p>
    <w:p>
      <w:pPr>
        <w:spacing w:after="0" w:line="27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001-40377</w:t>
      </w:r>
    </w:p>
    <w:p>
      <w:pPr>
        <w:spacing w:after="0" w:line="2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Valneva SE</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Îlot Saint-Joseph, Bureaux Convergence</w:t>
      </w:r>
    </w:p>
    <w:p>
      <w:pPr>
        <w:spacing w:after="0" w:line="2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12ter Quai Perrache</w:t>
      </w:r>
    </w:p>
    <w:p>
      <w:pPr>
        <w:spacing w:after="0" w:line="1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69002 Lyon, France</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4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28, 2026, the Registrant issued a press release, a copy of which is attached hereto as Exhibit 99.1. The information contained in this Form 6-K is hereby incorporated by reference into the registrant's registration Statement on Form F-3 (File No. 333-268071).</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175" w:lineRule="exact"/>
        <w:rPr>
          <w:sz w:val="24"/>
          <w:szCs w:val="24"/>
          <w:color w:val="auto"/>
        </w:rPr>
      </w:pPr>
    </w:p>
    <w:p>
      <w:pPr>
        <w:ind w:left="120"/>
        <w:spacing w:after="0"/>
        <w:tabs>
          <w:tab w:leader="none" w:pos="16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Press release dated May 28, 2026</w:t>
      </w:r>
    </w:p>
    <w:p>
      <w:pPr>
        <w:sectPr>
          <w:pgSz w:w="11900" w:h="16838" w:orient="portrait"/>
          <w:cols w:equalWidth="0" w:num="1">
            <w:col w:w="11100"/>
          </w:cols>
          <w:pgMar w:left="320" w:top="1440" w:right="479" w:bottom="1440" w:gutter="0" w:footer="0" w:header="0"/>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u w:val="single" w:color="auto"/>
          <w:color w:val="auto"/>
        </w:rPr>
        <w:t>Valneva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59" w:lineRule="exact"/>
        <w:rPr>
          <w:sz w:val="20"/>
          <w:szCs w:val="20"/>
          <w:color w:val="auto"/>
        </w:rPr>
      </w:pPr>
    </w:p>
    <w:p>
      <w:pPr>
        <w:spacing w:after="0"/>
        <w:tabs>
          <w:tab w:leader="none" w:pos="816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u w:val="single" w:color="auto"/>
          <w:color w:val="auto"/>
        </w:rPr>
        <w:t>/s/ Thomas Lingelbach</w:t>
      </w:r>
    </w:p>
    <w:p>
      <w:pPr>
        <w:spacing w:after="0" w:line="9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Thomas Lingelbach</w:t>
      </w:r>
    </w:p>
    <w:p>
      <w:pPr>
        <w:spacing w:after="0" w:line="9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3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0280"/>
          </w:cols>
          <w:pgMar w:left="420" w:top="1427" w:right="1199" w:bottom="1440" w:gutter="0" w:footer="0" w:header="0"/>
        </w:sectPr>
      </w:pPr>
    </w:p>
    <w:bookmarkStart w:id="2" w:name="page3"/>
    <w:bookmarkEnd w:id="2"/>
    <w:p>
      <w:pPr>
        <w:spacing w:after="0" w:line="39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A0CD"/>
        </w:rPr>
        <w:t>Valneva to Participate at U.S. and European Investor Conferences in June</w:t>
      </w: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Lyon (France), May 28, 2026 </w:t>
      </w:r>
      <w:r>
        <w:rPr>
          <w:rFonts w:ascii="Arial" w:cs="Arial" w:eastAsia="Arial" w:hAnsi="Arial"/>
          <w:sz w:val="20"/>
          <w:szCs w:val="20"/>
          <w:color w:val="auto"/>
        </w:rPr>
        <w:t>– Valneva SE (Nasdaq: VALN; Euronext Paris: VLA), a specialty vaccine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its senior management will present and hold investor meetings at several upcoming investor conferences in the United States and Europe in June 2026.</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Key topics for discussion include Valneva’s commercial stage vaccines and its differentiated portfolio of vaccine candidates, including LB6V (formerly VLA15), the world’s leading Lyme Disease vaccine candidate. LB6V is partnered with Pfizer, who reported topline Phase 3 results demonstrating strong efficacy with no safety concerns. Pfizer is currently planning submissions to regulatory authorities.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Institutional investors who would like to meet 1on1 with management at any of the conferences below are asked to submit a request to their representative at the respective bank.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Jefferies Global Healthcare Conference</w:t>
      </w:r>
    </w:p>
    <w:p>
      <w:pPr>
        <w:spacing w:after="0" w:line="5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Format:</w:t>
      </w:r>
      <w:r>
        <w:rPr>
          <w:sz w:val="20"/>
          <w:szCs w:val="20"/>
          <w:color w:val="auto"/>
        </w:rPr>
        <w:tab/>
      </w:r>
      <w:r>
        <w:rPr>
          <w:rFonts w:ascii="Arial" w:cs="Arial" w:eastAsia="Arial" w:hAnsi="Arial"/>
          <w:sz w:val="20"/>
          <w:szCs w:val="20"/>
          <w:color w:val="auto"/>
        </w:rPr>
        <w:t>Fireside chat and investor meetings</w:t>
      </w:r>
    </w:p>
    <w:p>
      <w:pPr>
        <w:spacing w:after="0" w:line="31"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color w:val="auto"/>
        </w:rPr>
        <w:t>Date/ time:</w:t>
      </w:r>
      <w:r>
        <w:rPr>
          <w:sz w:val="20"/>
          <w:szCs w:val="20"/>
          <w:color w:val="auto"/>
        </w:rPr>
        <w:tab/>
      </w:r>
      <w:r>
        <w:rPr>
          <w:rFonts w:ascii="Arial" w:cs="Arial" w:eastAsia="Arial" w:hAnsi="Arial"/>
          <w:sz w:val="19"/>
          <w:szCs w:val="19"/>
          <w:color w:val="auto"/>
        </w:rPr>
        <w:t>June 3, 11:40am ET</w:t>
      </w:r>
    </w:p>
    <w:p>
      <w:pPr>
        <w:spacing w:after="0"/>
        <w:tabs>
          <w:tab w:leader="none" w:pos="1020" w:val="left"/>
        </w:tabs>
        <w:rPr>
          <w:sz w:val="20"/>
          <w:szCs w:val="20"/>
          <w:color w:val="auto"/>
        </w:rPr>
      </w:pPr>
      <w:r>
        <w:rPr>
          <w:rFonts w:ascii="Arial" w:cs="Arial" w:eastAsia="Arial" w:hAnsi="Arial"/>
          <w:sz w:val="20"/>
          <w:szCs w:val="20"/>
          <w:color w:val="auto"/>
        </w:rPr>
        <w:t>Webcast:</w:t>
        <w:tab/>
        <w:t>Link. A replay will be available in the “Investor” section of the Valneva website.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40" w:type="dxa"/>
            <w:vAlign w:val="bottom"/>
          </w:tcPr>
          <w:p>
            <w:pPr>
              <w:spacing w:after="0"/>
              <w:rPr>
                <w:sz w:val="20"/>
                <w:szCs w:val="20"/>
                <w:color w:val="auto"/>
              </w:rPr>
            </w:pPr>
            <w:r>
              <w:rPr>
                <w:rFonts w:ascii="Arial" w:cs="Arial" w:eastAsia="Arial" w:hAnsi="Arial"/>
                <w:sz w:val="20"/>
                <w:szCs w:val="20"/>
                <w:color w:val="auto"/>
              </w:rPr>
              <w:t>Location:</w:t>
            </w:r>
          </w:p>
        </w:tc>
        <w:tc>
          <w:tcPr>
            <w:tcW w:w="2200" w:type="dxa"/>
            <w:vAlign w:val="bottom"/>
            <w:gridSpan w:val="2"/>
          </w:tcPr>
          <w:p>
            <w:pPr>
              <w:ind w:left="220"/>
              <w:spacing w:after="0"/>
              <w:rPr>
                <w:sz w:val="20"/>
                <w:szCs w:val="20"/>
                <w:color w:val="auto"/>
              </w:rPr>
            </w:pPr>
            <w:r>
              <w:rPr>
                <w:rFonts w:ascii="Arial" w:cs="Arial" w:eastAsia="Arial" w:hAnsi="Arial"/>
                <w:sz w:val="20"/>
                <w:szCs w:val="20"/>
                <w:color w:val="auto"/>
              </w:rPr>
              <w:t>New York</w:t>
            </w:r>
          </w:p>
        </w:tc>
      </w:tr>
      <w:tr>
        <w:trPr>
          <w:trHeight w:val="417"/>
        </w:trPr>
        <w:tc>
          <w:tcPr>
            <w:tcW w:w="3240" w:type="dxa"/>
            <w:vAlign w:val="bottom"/>
            <w:gridSpan w:val="3"/>
          </w:tcPr>
          <w:p>
            <w:pPr>
              <w:spacing w:after="0"/>
              <w:rPr>
                <w:sz w:val="20"/>
                <w:szCs w:val="20"/>
                <w:color w:val="auto"/>
              </w:rPr>
            </w:pPr>
            <w:r>
              <w:rPr>
                <w:rFonts w:ascii="Arial" w:cs="Arial" w:eastAsia="Arial" w:hAnsi="Arial"/>
                <w:sz w:val="20"/>
                <w:szCs w:val="20"/>
                <w:color w:val="auto"/>
              </w:rPr>
              <w:t>Oddo BHF Nextcap Forum:</w:t>
            </w:r>
          </w:p>
        </w:tc>
      </w:tr>
      <w:tr>
        <w:trPr>
          <w:trHeight w:val="20"/>
        </w:trPr>
        <w:tc>
          <w:tcPr>
            <w:tcW w:w="10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6"/>
        </w:trPr>
        <w:tc>
          <w:tcPr>
            <w:tcW w:w="1040" w:type="dxa"/>
            <w:vAlign w:val="bottom"/>
          </w:tcPr>
          <w:p>
            <w:pPr>
              <w:spacing w:after="0"/>
              <w:rPr>
                <w:sz w:val="20"/>
                <w:szCs w:val="20"/>
                <w:color w:val="auto"/>
              </w:rPr>
            </w:pPr>
            <w:r>
              <w:rPr>
                <w:rFonts w:ascii="Arial" w:cs="Arial" w:eastAsia="Arial" w:hAnsi="Arial"/>
                <w:sz w:val="20"/>
                <w:szCs w:val="20"/>
                <w:color w:val="auto"/>
              </w:rPr>
              <w:t>Format:</w:t>
            </w:r>
          </w:p>
        </w:tc>
        <w:tc>
          <w:tcPr>
            <w:tcW w:w="2200" w:type="dxa"/>
            <w:vAlign w:val="bottom"/>
            <w:gridSpan w:val="2"/>
          </w:tcPr>
          <w:p>
            <w:pPr>
              <w:ind w:left="80"/>
              <w:spacing w:after="0"/>
              <w:rPr>
                <w:sz w:val="20"/>
                <w:szCs w:val="20"/>
                <w:color w:val="auto"/>
              </w:rPr>
            </w:pPr>
            <w:r>
              <w:rPr>
                <w:rFonts w:ascii="Arial" w:cs="Arial" w:eastAsia="Arial" w:hAnsi="Arial"/>
                <w:sz w:val="20"/>
                <w:szCs w:val="20"/>
                <w:color w:val="auto"/>
              </w:rPr>
              <w:t>Investor meetings only</w:t>
            </w:r>
          </w:p>
        </w:tc>
      </w:tr>
      <w:tr>
        <w:trPr>
          <w:trHeight w:val="229"/>
        </w:trPr>
        <w:tc>
          <w:tcPr>
            <w:tcW w:w="1040" w:type="dxa"/>
            <w:vAlign w:val="bottom"/>
          </w:tcPr>
          <w:p>
            <w:pPr>
              <w:spacing w:after="0"/>
              <w:rPr>
                <w:sz w:val="20"/>
                <w:szCs w:val="20"/>
                <w:color w:val="auto"/>
              </w:rPr>
            </w:pPr>
            <w:r>
              <w:rPr>
                <w:rFonts w:ascii="Arial" w:cs="Arial" w:eastAsia="Arial" w:hAnsi="Arial"/>
                <w:sz w:val="20"/>
                <w:szCs w:val="20"/>
                <w:color w:val="auto"/>
              </w:rPr>
              <w:t>Date/ time:</w:t>
            </w:r>
          </w:p>
        </w:tc>
        <w:tc>
          <w:tcPr>
            <w:tcW w:w="2200" w:type="dxa"/>
            <w:vAlign w:val="bottom"/>
            <w:gridSpan w:val="2"/>
          </w:tcPr>
          <w:p>
            <w:pPr>
              <w:ind w:left="360"/>
              <w:spacing w:after="0"/>
              <w:rPr>
                <w:sz w:val="20"/>
                <w:szCs w:val="20"/>
                <w:color w:val="auto"/>
              </w:rPr>
            </w:pPr>
            <w:r>
              <w:rPr>
                <w:rFonts w:ascii="Arial" w:cs="Arial" w:eastAsia="Arial" w:hAnsi="Arial"/>
                <w:sz w:val="20"/>
                <w:szCs w:val="20"/>
                <w:color w:val="auto"/>
              </w:rPr>
              <w:t>June 12</w:t>
            </w:r>
          </w:p>
        </w:tc>
      </w:tr>
      <w:tr>
        <w:trPr>
          <w:trHeight w:val="261"/>
        </w:trPr>
        <w:tc>
          <w:tcPr>
            <w:tcW w:w="1040" w:type="dxa"/>
            <w:vAlign w:val="bottom"/>
          </w:tcPr>
          <w:p>
            <w:pPr>
              <w:spacing w:after="0"/>
              <w:rPr>
                <w:sz w:val="20"/>
                <w:szCs w:val="20"/>
                <w:color w:val="auto"/>
              </w:rPr>
            </w:pPr>
            <w:r>
              <w:rPr>
                <w:rFonts w:ascii="Arial" w:cs="Arial" w:eastAsia="Arial" w:hAnsi="Arial"/>
                <w:sz w:val="20"/>
                <w:szCs w:val="20"/>
                <w:color w:val="auto"/>
              </w:rPr>
              <w:t>Location</w:t>
            </w:r>
          </w:p>
        </w:tc>
        <w:tc>
          <w:tcPr>
            <w:tcW w:w="2200" w:type="dxa"/>
            <w:vAlign w:val="bottom"/>
            <w:gridSpan w:val="2"/>
          </w:tcPr>
          <w:p>
            <w:pPr>
              <w:ind w:left="220"/>
              <w:spacing w:after="0"/>
              <w:rPr>
                <w:sz w:val="20"/>
                <w:szCs w:val="20"/>
                <w:color w:val="auto"/>
              </w:rPr>
            </w:pPr>
            <w:r>
              <w:rPr>
                <w:rFonts w:ascii="Arial" w:cs="Arial" w:eastAsia="Arial" w:hAnsi="Arial"/>
                <w:sz w:val="20"/>
                <w:szCs w:val="20"/>
                <w:color w:val="auto"/>
              </w:rPr>
              <w:t>Virtual</w:t>
            </w:r>
          </w:p>
        </w:tc>
      </w:tr>
      <w:tr>
        <w:trPr>
          <w:trHeight w:val="435"/>
        </w:trPr>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8"/>
              </w:rPr>
              <w:t>BNP Paribas SMID Cap Conference:</w:t>
            </w:r>
          </w:p>
        </w:tc>
      </w:tr>
      <w:tr>
        <w:trPr>
          <w:trHeight w:val="296"/>
        </w:trPr>
        <w:tc>
          <w:tcPr>
            <w:tcW w:w="1040" w:type="dxa"/>
            <w:vAlign w:val="bottom"/>
          </w:tcPr>
          <w:p>
            <w:pPr>
              <w:spacing w:after="0"/>
              <w:rPr>
                <w:sz w:val="20"/>
                <w:szCs w:val="20"/>
                <w:color w:val="auto"/>
              </w:rPr>
            </w:pPr>
            <w:r>
              <w:rPr>
                <w:rFonts w:ascii="Arial" w:cs="Arial" w:eastAsia="Arial" w:hAnsi="Arial"/>
                <w:sz w:val="20"/>
                <w:szCs w:val="20"/>
                <w:color w:val="auto"/>
              </w:rPr>
              <w:t>Format:</w:t>
            </w:r>
          </w:p>
        </w:tc>
        <w:tc>
          <w:tcPr>
            <w:tcW w:w="2200" w:type="dxa"/>
            <w:vAlign w:val="bottom"/>
            <w:gridSpan w:val="2"/>
          </w:tcPr>
          <w:p>
            <w:pPr>
              <w:ind w:left="80"/>
              <w:spacing w:after="0"/>
              <w:rPr>
                <w:sz w:val="20"/>
                <w:szCs w:val="20"/>
                <w:color w:val="auto"/>
              </w:rPr>
            </w:pPr>
            <w:r>
              <w:rPr>
                <w:rFonts w:ascii="Arial" w:cs="Arial" w:eastAsia="Arial" w:hAnsi="Arial"/>
                <w:sz w:val="20"/>
                <w:szCs w:val="20"/>
                <w:color w:val="auto"/>
              </w:rPr>
              <w:t>Investor meetings only</w:t>
            </w:r>
          </w:p>
        </w:tc>
      </w:tr>
      <w:tr>
        <w:trPr>
          <w:trHeight w:val="243"/>
        </w:trPr>
        <w:tc>
          <w:tcPr>
            <w:tcW w:w="1040" w:type="dxa"/>
            <w:vAlign w:val="bottom"/>
          </w:tcPr>
          <w:p>
            <w:pPr>
              <w:spacing w:after="0"/>
              <w:rPr>
                <w:sz w:val="20"/>
                <w:szCs w:val="20"/>
                <w:color w:val="auto"/>
              </w:rPr>
            </w:pPr>
            <w:r>
              <w:rPr>
                <w:rFonts w:ascii="Arial" w:cs="Arial" w:eastAsia="Arial" w:hAnsi="Arial"/>
                <w:sz w:val="20"/>
                <w:szCs w:val="20"/>
                <w:color w:val="auto"/>
              </w:rPr>
              <w:t>Date/ time:</w:t>
            </w:r>
          </w:p>
        </w:tc>
        <w:tc>
          <w:tcPr>
            <w:tcW w:w="2200" w:type="dxa"/>
            <w:vAlign w:val="bottom"/>
            <w:gridSpan w:val="2"/>
          </w:tcPr>
          <w:p>
            <w:pPr>
              <w:ind w:left="360"/>
              <w:spacing w:after="0"/>
              <w:rPr>
                <w:sz w:val="20"/>
                <w:szCs w:val="20"/>
                <w:color w:val="auto"/>
              </w:rPr>
            </w:pPr>
            <w:r>
              <w:rPr>
                <w:rFonts w:ascii="Arial" w:cs="Arial" w:eastAsia="Arial" w:hAnsi="Arial"/>
                <w:sz w:val="20"/>
                <w:szCs w:val="20"/>
                <w:color w:val="auto"/>
              </w:rPr>
              <w:t>June 24</w:t>
            </w:r>
          </w:p>
        </w:tc>
      </w:tr>
      <w:tr>
        <w:trPr>
          <w:trHeight w:val="261"/>
        </w:trPr>
        <w:tc>
          <w:tcPr>
            <w:tcW w:w="1040" w:type="dxa"/>
            <w:vAlign w:val="bottom"/>
          </w:tcPr>
          <w:p>
            <w:pPr>
              <w:spacing w:after="0"/>
              <w:rPr>
                <w:sz w:val="20"/>
                <w:szCs w:val="20"/>
                <w:color w:val="auto"/>
              </w:rPr>
            </w:pPr>
            <w:r>
              <w:rPr>
                <w:rFonts w:ascii="Arial" w:cs="Arial" w:eastAsia="Arial" w:hAnsi="Arial"/>
                <w:sz w:val="20"/>
                <w:szCs w:val="20"/>
                <w:color w:val="auto"/>
              </w:rPr>
              <w:t>Location:</w:t>
            </w:r>
          </w:p>
        </w:tc>
        <w:tc>
          <w:tcPr>
            <w:tcW w:w="2200" w:type="dxa"/>
            <w:vAlign w:val="bottom"/>
            <w:gridSpan w:val="2"/>
          </w:tcPr>
          <w:p>
            <w:pPr>
              <w:ind w:left="260"/>
              <w:spacing w:after="0"/>
              <w:rPr>
                <w:sz w:val="20"/>
                <w:szCs w:val="20"/>
                <w:color w:val="auto"/>
              </w:rPr>
            </w:pPr>
            <w:r>
              <w:rPr>
                <w:rFonts w:ascii="Arial" w:cs="Arial" w:eastAsia="Arial" w:hAnsi="Arial"/>
                <w:sz w:val="20"/>
                <w:szCs w:val="20"/>
                <w:color w:val="auto"/>
              </w:rPr>
              <w:t>Paris, France</w:t>
            </w:r>
          </w:p>
        </w:tc>
      </w:tr>
    </w:tbl>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Additionally, the Company will also engage with travel medical professionals during a key European medical conference, where Valneva is a Gold Sponsor and Exhibitor.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10</w:t>
      </w:r>
      <w:r>
        <w:rPr>
          <w:rFonts w:ascii="Arial" w:cs="Arial" w:eastAsia="Arial" w:hAnsi="Arial"/>
          <w:sz w:val="25"/>
          <w:szCs w:val="25"/>
          <w:u w:val="single" w:color="auto"/>
          <w:color w:val="auto"/>
          <w:vertAlign w:val="superscript"/>
        </w:rPr>
        <w:t>th</w:t>
      </w:r>
      <w:r>
        <w:rPr>
          <w:rFonts w:ascii="Arial" w:cs="Arial" w:eastAsia="Arial" w:hAnsi="Arial"/>
          <w:sz w:val="20"/>
          <w:szCs w:val="20"/>
          <w:u w:val="single" w:color="auto"/>
          <w:color w:val="auto"/>
        </w:rPr>
        <w:t xml:space="preserve"> Northern European Conference on Travel Medicine (NECTM10)</w:t>
      </w:r>
    </w:p>
    <w:p>
      <w:pPr>
        <w:spacing w:after="0" w:line="2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Date/ time:</w:t>
      </w:r>
      <w:r>
        <w:rPr>
          <w:sz w:val="20"/>
          <w:szCs w:val="20"/>
          <w:color w:val="auto"/>
        </w:rPr>
        <w:tab/>
      </w:r>
      <w:r>
        <w:rPr>
          <w:rFonts w:ascii="Arial" w:cs="Arial" w:eastAsia="Arial" w:hAnsi="Arial"/>
          <w:sz w:val="19"/>
          <w:szCs w:val="19"/>
          <w:color w:val="auto"/>
        </w:rPr>
        <w:t>June 3 - 5</w:t>
      </w:r>
    </w:p>
    <w:p>
      <w:pPr>
        <w:spacing w:after="0" w:line="1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Location:</w:t>
      </w:r>
      <w:r>
        <w:rPr>
          <w:sz w:val="20"/>
          <w:szCs w:val="20"/>
          <w:color w:val="auto"/>
        </w:rPr>
        <w:tab/>
      </w:r>
      <w:r>
        <w:rPr>
          <w:rFonts w:ascii="Arial" w:cs="Arial" w:eastAsia="Arial" w:hAnsi="Arial"/>
          <w:sz w:val="20"/>
          <w:szCs w:val="20"/>
          <w:color w:val="auto"/>
        </w:rPr>
        <w:t>Belfast, Ireland</w:t>
      </w:r>
    </w:p>
    <w:p>
      <w:pPr>
        <w:spacing w:after="0"/>
        <w:tabs>
          <w:tab w:leader="none" w:pos="1160" w:val="left"/>
        </w:tabs>
        <w:rPr>
          <w:sz w:val="20"/>
          <w:szCs w:val="20"/>
          <w:color w:val="auto"/>
        </w:rPr>
      </w:pPr>
      <w:r>
        <w:rPr>
          <w:rFonts w:ascii="Arial" w:cs="Arial" w:eastAsia="Arial" w:hAnsi="Arial"/>
          <w:sz w:val="20"/>
          <w:szCs w:val="20"/>
          <w:color w:val="auto"/>
        </w:rPr>
        <w:t>Booth #:</w:t>
      </w:r>
      <w:r>
        <w:rPr>
          <w:sz w:val="20"/>
          <w:szCs w:val="20"/>
          <w:color w:val="auto"/>
        </w:rPr>
        <w:tab/>
      </w:r>
      <w:r>
        <w:rPr>
          <w:rFonts w:ascii="Arial" w:cs="Arial" w:eastAsia="Arial" w:hAnsi="Arial"/>
          <w:sz w:val="20"/>
          <w:szCs w:val="20"/>
          <w:color w:val="auto"/>
        </w:rPr>
        <w:t>4</w:t>
      </w:r>
    </w:p>
    <w:p>
      <w:pPr>
        <w:spacing w:after="0" w:line="8" w:lineRule="exact"/>
        <w:rPr>
          <w:sz w:val="20"/>
          <w:szCs w:val="20"/>
          <w:color w:val="auto"/>
        </w:rPr>
      </w:pPr>
    </w:p>
    <w:p>
      <w:pPr>
        <w:spacing w:after="0" w:line="230" w:lineRule="exact"/>
        <w:tabs>
          <w:tab w:leader="none" w:pos="1380" w:val="left"/>
        </w:tabs>
        <w:rPr>
          <w:sz w:val="20"/>
          <w:szCs w:val="20"/>
          <w:color w:val="auto"/>
        </w:rPr>
      </w:pPr>
      <w:r>
        <w:rPr>
          <w:rFonts w:ascii="Arial" w:cs="Arial" w:eastAsia="Arial" w:hAnsi="Arial"/>
          <w:sz w:val="20"/>
          <w:szCs w:val="20"/>
          <w:color w:val="auto"/>
        </w:rPr>
        <w:t>Symposium:</w:t>
        <w:tab/>
        <w:t>From Risk to Protection: Real</w:t>
      </w:r>
      <w:r>
        <w:rPr>
          <w:rFonts w:ascii="MS PGothic" w:cs="MS PGothic" w:eastAsia="MS PGothic" w:hAnsi="MS PGothic"/>
          <w:sz w:val="20"/>
          <w:szCs w:val="20"/>
          <w:color w:val="auto"/>
        </w:rPr>
        <w:t>‐</w:t>
      </w:r>
      <w:r>
        <w:rPr>
          <w:rFonts w:ascii="Arial" w:cs="Arial" w:eastAsia="Arial" w:hAnsi="Arial"/>
          <w:sz w:val="20"/>
          <w:szCs w:val="20"/>
          <w:color w:val="auto"/>
        </w:rPr>
        <w:t>World Perspectives on Mosquito</w:t>
      </w:r>
      <w:r>
        <w:rPr>
          <w:rFonts w:ascii="MS PGothic" w:cs="MS PGothic" w:eastAsia="MS PGothic" w:hAnsi="MS PGothic"/>
          <w:sz w:val="20"/>
          <w:szCs w:val="20"/>
          <w:color w:val="auto"/>
        </w:rPr>
        <w:t>‐</w:t>
      </w:r>
      <w:r>
        <w:rPr>
          <w:rFonts w:ascii="Arial" w:cs="Arial" w:eastAsia="Arial" w:hAnsi="Arial"/>
          <w:sz w:val="20"/>
          <w:szCs w:val="20"/>
          <w:color w:val="auto"/>
        </w:rPr>
        <w:t>Borne Diseases; Promotional session; June 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12:30pm BST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002060"/>
        </w:rPr>
        <w:t>VALNEVA SE</w:t>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Valneva SE</w:t>
      </w:r>
    </w:p>
    <w:p>
      <w:pPr>
        <w:spacing w:after="0" w:line="4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 We have a strong track record, having advanced multiple vaccines from early R&amp;D to approvals, and currently market three proprietary travel vaccines.</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at www.valneva.com.</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right="800"/>
        <w:spacing w:after="0" w:line="276" w:lineRule="auto"/>
        <w:rPr>
          <w:sz w:val="20"/>
          <w:szCs w:val="20"/>
          <w:color w:val="auto"/>
        </w:rPr>
      </w:pPr>
      <w:r>
        <w:rPr>
          <w:rFonts w:ascii="Arial" w:cs="Arial" w:eastAsia="Arial" w:hAnsi="Arial"/>
          <w:sz w:val="20"/>
          <w:szCs w:val="20"/>
          <w:b w:val="1"/>
          <w:bCs w:val="1"/>
          <w:color w:val="auto"/>
        </w:rPr>
        <w:t>Valneva Investor and Media Contacts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Laetitia Bachelot-Fontaine</w:t>
      </w:r>
    </w:p>
    <w:p>
      <w:pPr>
        <w:spacing w:after="0" w:line="16" w:lineRule="exact"/>
        <w:rPr>
          <w:sz w:val="20"/>
          <w:szCs w:val="20"/>
          <w:color w:val="auto"/>
        </w:rPr>
      </w:pPr>
    </w:p>
    <w:p>
      <w:pPr>
        <w:ind w:left="20"/>
        <w:spacing w:after="0" w:line="285" w:lineRule="auto"/>
        <w:rPr>
          <w:sz w:val="20"/>
          <w:szCs w:val="20"/>
          <w:color w:val="auto"/>
        </w:rPr>
      </w:pPr>
      <w:r>
        <w:rPr>
          <w:rFonts w:ascii="Arial" w:cs="Arial" w:eastAsia="Arial" w:hAnsi="Arial"/>
          <w:sz w:val="19"/>
          <w:szCs w:val="19"/>
          <w:color w:val="auto"/>
        </w:rPr>
        <w:t>VP, Global Communications and European Investor Relations M +33 (0)6 4516 7099 laetitia.bachelotfontaine@valneva.com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Joshua Drumm, Ph.D.</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VP, Global Investor Relations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M +001 917 815 4520</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joshua.drumm@valneva.com</w:t>
      </w:r>
    </w:p>
    <w:p>
      <w:pPr>
        <w:spacing w:after="0" w:line="776" w:lineRule="exact"/>
        <w:rPr>
          <w:sz w:val="20"/>
          <w:szCs w:val="20"/>
          <w:color w:val="auto"/>
        </w:rPr>
      </w:pPr>
    </w:p>
    <w:p>
      <w:pPr>
        <w:sectPr>
          <w:pgSz w:w="11900" w:h="16838" w:orient="portrait"/>
          <w:cols w:equalWidth="0" w:num="2">
            <w:col w:w="3420" w:space="40"/>
            <w:col w:w="7640"/>
          </w:cols>
          <w:pgMar w:left="320" w:top="1440" w:right="4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This press release contains certain forward-looking statements relating to the business of Valneva, including with respect to business partnerships and the progress, timing, results and completion of technology transfer and regulatory approvals in additional markets. In addition, even if the actual results or development of Valneva are consistent with the forward-looking statements contained in this press release, those results or developments of Valneva may not be sustained in the future. In some cases, you can identify forward-looking statements by words such as “could,” “should,” “may,” “expects,” “anticipates,” “believes,” “intends,” “estimates,” “aims,” “targets,” or similar words. These forward-looking statements are based largely on the current expectations of Valneva as of the date of this press release and are subject to a number of known and unknown risks and uncertainties and other factors that may cause actual results, performance or achievements to be materially different from any future results, performance or achievement expressed or implied by these forward-looking statements. In particular, the expectations of Valneva could be affected by, among other things, uncertainties and delays involved in the development and manufacture of vaccines, unexpected clinical trial results, unexpected regulatory actions or delays, competition in general, currency fluctuations, the impact of the global and European credit crisis, and the ability to obtain or maintain patent or other proprietary intellectual property protection. Success in preclinical studies or earlier clinical trials may not be indicative of results in future clinical trials. In light of these risks and uncertainties, there can be no assurance that the forward-looking statements made in this press release will in fact be realized. Valneva is providing this information as of the date of this press release and disclaims any intention or obligation to publicly update or revise any forward-looking statements, whether as a result of new information, future events, or otherwise.</w:t>
      </w:r>
    </w:p>
    <w:sectPr>
      <w:pgSz w:w="11900" w:h="16838" w:orient="portrait"/>
      <w:cols w:equalWidth="0" w:num="1">
        <w:col w:w="11100"/>
      </w:cols>
      <w:pgMar w:left="32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2026-06-01T09:02:19Z</dcterms:created>
  <dcterms:modified xsi:type="dcterms:W3CDTF">2026-06-01T09:02:19Z</dcterms:modified>
</cp:coreProperties>
</file>