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2026</w:t>
      </w:r>
    </w:p>
    <w:p>
      <w:pPr>
        <w:pStyle w:val="TextBody"/>
        <w:shd w:fill="FFFFFF" w:val="clear"/>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EDGAR</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Life Sciences</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Jessica Dickerson</w:t>
      </w:r>
    </w:p>
    <w:p>
      <w:pPr>
        <w:pStyle w:val="TextBody"/>
        <w:shd w:fill="FFFFFF" w:val="clear"/>
        <w:bidi w:val="0"/>
        <w:jc w:val="left"/>
        <w:rPr>
          <w:caps w:val="false"/>
          <w:smallCaps w:val="false"/>
        </w:rPr>
      </w:pPr>
      <w:r>
        <w:rPr>
          <w:caps w:val="false"/>
          <w:smallCaps w:val="false"/>
        </w:rPr>
        <w:t> </w:t>
      </w:r>
    </w:p>
    <w:tbl>
      <w:tblPr>
        <w:tblW w:w="1345" w:type="dxa"/>
        <w:jc w:val="left"/>
        <w:tblInd w:w="0" w:type="dxa"/>
        <w:shd w:fill="FFFFFF" w:val="clear"/>
        <w:tblLayout w:type="fixed"/>
        <w:tblCellMar>
          <w:top w:w="0" w:type="dxa"/>
          <w:left w:w="0" w:type="dxa"/>
          <w:bottom w:w="0" w:type="dxa"/>
          <w:right w:w="0" w:type="dxa"/>
        </w:tblCellMar>
      </w:tblPr>
      <w:tblGrid>
        <w:gridCol w:w="320"/>
        <w:gridCol w:w="1025"/>
      </w:tblGrid>
      <w:tr>
        <w:trPr/>
        <w:tc>
          <w:tcPr>
            <w:tcW w:w="320" w:type="dxa"/>
            <w:tcBorders/>
            <w:shd w:fill="FFFFFF" w:val="clear"/>
            <w:vAlign w:val="center"/>
          </w:tcPr>
          <w:p>
            <w:pPr>
              <w:pStyle w:val="TableContents"/>
              <w:bidi w:val="0"/>
              <w:spacing w:before="0" w:after="283"/>
              <w:jc w:val="left"/>
              <w:rPr>
                <w:sz w:val="20"/>
              </w:rPr>
            </w:pPr>
            <w:r>
              <w:rPr>
                <w:sz w:val="20"/>
              </w:rPr>
              <w:t>Re:</w:t>
            </w:r>
          </w:p>
        </w:tc>
        <w:tc>
          <w:tcPr>
            <w:tcW w:w="1025" w:type="dxa"/>
            <w:tcBorders/>
            <w:shd w:fill="FFFFFF" w:val="clear"/>
            <w:vAlign w:val="center"/>
          </w:tcPr>
          <w:p>
            <w:pPr>
              <w:pStyle w:val="TableContents"/>
              <w:bidi w:val="0"/>
              <w:spacing w:before="0" w:after="283"/>
              <w:jc w:val="left"/>
              <w:rPr>
                <w:b/>
                <w:sz w:val="20"/>
              </w:rPr>
            </w:pPr>
            <w:r>
              <w:rPr>
                <w:b/>
                <w:sz w:val="20"/>
              </w:rPr>
              <w:t>Valneva SE</w:t>
            </w:r>
          </w:p>
        </w:tc>
      </w:tr>
    </w:tbl>
    <w:p>
      <w:pPr>
        <w:pStyle w:val="TextBody"/>
        <w:shd w:fill="FFFFFF" w:val="clear"/>
        <w:bidi w:val="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F-3</w:t>
      </w:r>
    </w:p>
    <w:p>
      <w:pPr>
        <w:pStyle w:val="TextBody"/>
        <w:shd w:fill="FFFFFF" w:val="clear"/>
        <w:bidi w:val="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333-296504</w:t>
      </w:r>
    </w:p>
    <w:p>
      <w:pPr>
        <w:pStyle w:val="TextBody"/>
        <w:shd w:fill="FFFFFF" w:val="clear"/>
        <w:bidi w:val="0"/>
        <w:spacing w:before="240" w:after="240"/>
        <w:ind w:left="489"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Acceleration Request</w:t>
      </w:r>
    </w:p>
    <w:p>
      <w:pPr>
        <w:pStyle w:val="TextBody"/>
        <w:shd w:fill="FFFFFF" w:val="clear"/>
        <w:bidi w:val="0"/>
        <w:ind w:left="489"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Requested Date:     June 16, 2026</w:t>
      </w:r>
    </w:p>
    <w:p>
      <w:pPr>
        <w:pStyle w:val="TextBody"/>
        <w:shd w:fill="FFFFFF" w:val="clear"/>
        <w:bidi w:val="0"/>
        <w:ind w:left="489"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Requested Time:    4:00 PM Eastern Time</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461 under the Securities Act of 1933, as amended, the undersigned registrant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hereby requests that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take appropriate action to cause the Registration Statement on Form F-3 (File No.: 333-296504)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to become effective on Tuesday, June 16, 2026 at 4:00 p.m. Eastern Time, or as soon as practicable thereafter, or at such later time as the Registrant may orally request via telephone call to the staff of the Commission. The Registrant hereby authorizes Courtney Thorne of Cooley LLP, counsel to the Registrant, to make such request on its behalf.</w:t>
      </w:r>
    </w:p>
    <w:p>
      <w:pPr>
        <w:pStyle w:val="TextBody"/>
        <w:shd w:fill="FFFFFF" w:val="clear"/>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Registration Statement has been declared effective, please orally confirm that event with Courtney Thorne of Cooley LLP, counsel to the Registrant, at (617) 937-2318.</w:t>
      </w:r>
    </w:p>
    <w:p>
      <w:pPr>
        <w:pStyle w:val="TextBody"/>
        <w:shd w:fill="FFFFFF" w:val="clear"/>
        <w:bidi w:val="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320"/>
        <w:gridCol w:w="60"/>
        <w:gridCol w:w="2000"/>
      </w:tblGrid>
      <w:tr>
        <w:trPr/>
        <w:tc>
          <w:tcPr>
            <w:tcW w:w="75"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sz w:val="20"/>
              </w:rPr>
            </w:pPr>
            <w:r>
              <w:rPr>
                <w:sz w:val="20"/>
              </w:rPr>
              <w:t>Thomas Lingelbach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Thomas Lingelbach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Thomas Lingelbach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20"/>
              </w:rPr>
            </w:pPr>
            <w:r>
              <w:rPr>
                <w:sz w:val="20"/>
              </w:rPr>
              <w:t xml:space="preserve">Chief Executive Officer </w:t>
            </w:r>
          </w:p>
        </w:tc>
      </w:tr>
    </w:tbl>
    <w:p>
      <w:pPr>
        <w:pStyle w:val="TextBody"/>
        <w:shd w:fill="FFFFFF" w:val="clear"/>
        <w:bidi w:val="0"/>
        <w:jc w:val="left"/>
        <w:rPr>
          <w:caps w:val="false"/>
          <w:smallCaps w:val="false"/>
        </w:rPr>
      </w:pPr>
      <w:r>
        <w:rPr>
          <w:caps w:val="false"/>
          <w:smallCaps w:val="false"/>
        </w:rPr>
        <w:t> </w:t>
      </w:r>
    </w:p>
    <w:tbl>
      <w:tblPr>
        <w:tblW w:w="4015" w:type="dxa"/>
        <w:jc w:val="left"/>
        <w:tblInd w:w="0" w:type="dxa"/>
        <w:shd w:fill="FFFFFF" w:val="clear"/>
        <w:tblLayout w:type="fixed"/>
        <w:tblCellMar>
          <w:top w:w="0" w:type="dxa"/>
          <w:left w:w="0" w:type="dxa"/>
          <w:bottom w:w="0" w:type="dxa"/>
          <w:right w:w="0" w:type="dxa"/>
        </w:tblCellMar>
      </w:tblPr>
      <w:tblGrid>
        <w:gridCol w:w="275"/>
        <w:gridCol w:w="3740"/>
      </w:tblGrid>
      <w:tr>
        <w:trPr/>
        <w:tc>
          <w:tcPr>
            <w:tcW w:w="275" w:type="dxa"/>
            <w:tcBorders/>
            <w:shd w:fill="FFFFFF" w:val="clear"/>
            <w:vAlign w:val="center"/>
          </w:tcPr>
          <w:p>
            <w:pPr>
              <w:pStyle w:val="TableContents"/>
              <w:bidi w:val="0"/>
              <w:spacing w:before="0" w:after="283"/>
              <w:jc w:val="left"/>
              <w:rPr>
                <w:sz w:val="20"/>
              </w:rPr>
            </w:pPr>
            <w:r>
              <w:rPr>
                <w:sz w:val="20"/>
              </w:rPr>
              <w:t>cc:</w:t>
            </w:r>
          </w:p>
        </w:tc>
        <w:tc>
          <w:tcPr>
            <w:tcW w:w="374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Kendra Wergin, General Counsel, Valneva SE</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Thorne, Cooley LLP</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Recht, Cooley LLP</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214</Words>
  <Characters>1203</Characters>
  <CharactersWithSpaces>1420</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