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4, 2026</w:t>
      </w:r>
    </w:p>
    <w:p>
      <w:pPr>
        <w:spacing w:after="0" w:line="179" w:lineRule="exact"/>
        <w:rPr>
          <w:sz w:val="24"/>
          <w:szCs w:val="24"/>
          <w:color w:val="auto"/>
        </w:rPr>
      </w:pPr>
    </w:p>
    <w:p>
      <w:pPr>
        <w:ind w:left="948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F-3</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spacing w:after="0" w:line="235"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Valneva SE</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160" w:type="dxa"/>
            <w:vAlign w:val="bottom"/>
            <w:tcBorders>
              <w:top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w w:val="99"/>
              </w:rPr>
              <w:t>France</w:t>
            </w:r>
          </w:p>
        </w:tc>
        <w:tc>
          <w:tcPr>
            <w:tcW w:w="5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2836</w:t>
            </w:r>
          </w:p>
        </w:tc>
        <w:tc>
          <w:tcPr>
            <w:tcW w:w="3020" w:type="dxa"/>
            <w:vAlign w:val="bottom"/>
            <w:tcBorders>
              <w:top w:val="single" w:sz="8" w:color="auto"/>
            </w:tcBorders>
          </w:tcPr>
          <w:p>
            <w:pPr>
              <w:jc w:val="center"/>
              <w:ind w:right="609"/>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70"/>
        </w:trPr>
        <w:tc>
          <w:tcPr>
            <w:tcW w:w="316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(Primary Standard Industrial</w:t>
            </w:r>
          </w:p>
        </w:tc>
        <w:tc>
          <w:tcPr>
            <w:tcW w:w="3020" w:type="dxa"/>
            <w:vAlign w:val="bottom"/>
          </w:tcPr>
          <w:p>
            <w:pPr>
              <w:jc w:val="center"/>
              <w:ind w:right="62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316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3020" w:type="dxa"/>
            <w:vAlign w:val="bottom"/>
          </w:tcPr>
          <w:p>
            <w:pPr>
              <w:jc w:val="center"/>
              <w:ind w:right="609"/>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324"/>
        </w:trPr>
        <w:tc>
          <w:tcPr>
            <w:tcW w:w="3160" w:type="dxa"/>
            <w:vAlign w:val="bottom"/>
          </w:tcPr>
          <w:p>
            <w:pPr>
              <w:spacing w:after="0"/>
              <w:rPr>
                <w:sz w:val="24"/>
                <w:szCs w:val="24"/>
                <w:color w:val="auto"/>
              </w:rPr>
            </w:pPr>
          </w:p>
        </w:tc>
        <w:tc>
          <w:tcPr>
            <w:tcW w:w="51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Valneva SE</w:t>
            </w:r>
          </w:p>
        </w:tc>
        <w:tc>
          <w:tcPr>
            <w:tcW w:w="3020" w:type="dxa"/>
            <w:vAlign w:val="bottom"/>
          </w:tcPr>
          <w:p>
            <w:pPr>
              <w:spacing w:after="0"/>
              <w:rPr>
                <w:sz w:val="24"/>
                <w:szCs w:val="24"/>
                <w:color w:val="auto"/>
              </w:rPr>
            </w:pPr>
          </w:p>
        </w:tc>
      </w:tr>
      <w:tr>
        <w:trPr>
          <w:trHeight w:val="170"/>
        </w:trPr>
        <w:tc>
          <w:tcPr>
            <w:tcW w:w="3160" w:type="dxa"/>
            <w:vAlign w:val="bottom"/>
          </w:tcPr>
          <w:p>
            <w:pPr>
              <w:spacing w:after="0"/>
              <w:rPr>
                <w:sz w:val="14"/>
                <w:szCs w:val="14"/>
                <w:color w:val="auto"/>
              </w:rPr>
            </w:pPr>
          </w:p>
        </w:tc>
        <w:tc>
          <w:tcPr>
            <w:tcW w:w="51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Îlot Saint Joseph Bureaux Convergence</w:t>
            </w:r>
          </w:p>
        </w:tc>
        <w:tc>
          <w:tcPr>
            <w:tcW w:w="302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51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12T Quai Perrache</w:t>
            </w:r>
          </w:p>
        </w:tc>
        <w:tc>
          <w:tcPr>
            <w:tcW w:w="302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51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69002 Lyon France</w:t>
            </w:r>
          </w:p>
        </w:tc>
        <w:tc>
          <w:tcPr>
            <w:tcW w:w="3020" w:type="dxa"/>
            <w:vAlign w:val="bottom"/>
          </w:tcPr>
          <w:p>
            <w:pPr>
              <w:spacing w:after="0"/>
              <w:rPr>
                <w:sz w:val="14"/>
                <w:szCs w:val="14"/>
                <w:color w:val="auto"/>
              </w:rPr>
            </w:pPr>
          </w:p>
        </w:tc>
      </w:tr>
      <w:tr>
        <w:trPr>
          <w:trHeight w:val="172"/>
        </w:trPr>
        <w:tc>
          <w:tcPr>
            <w:tcW w:w="3160" w:type="dxa"/>
            <w:vAlign w:val="bottom"/>
          </w:tcPr>
          <w:p>
            <w:pPr>
              <w:spacing w:after="0"/>
              <w:rPr>
                <w:sz w:val="14"/>
                <w:szCs w:val="14"/>
                <w:color w:val="auto"/>
              </w:rPr>
            </w:pPr>
          </w:p>
        </w:tc>
        <w:tc>
          <w:tcPr>
            <w:tcW w:w="5100" w:type="dxa"/>
            <w:vAlign w:val="bottom"/>
          </w:tcPr>
          <w:p>
            <w:pPr>
              <w:jc w:val="right"/>
              <w:ind w:right="2029"/>
              <w:spacing w:after="0"/>
              <w:rPr>
                <w:sz w:val="20"/>
                <w:szCs w:val="20"/>
                <w:color w:val="auto"/>
              </w:rPr>
            </w:pPr>
            <w:r>
              <w:rPr>
                <w:rFonts w:ascii="Times New Roman" w:cs="Times New Roman" w:eastAsia="Times New Roman" w:hAnsi="Times New Roman"/>
                <w:sz w:val="14"/>
                <w:szCs w:val="14"/>
                <w:b w:val="1"/>
                <w:bCs w:val="1"/>
                <w:color w:val="auto"/>
              </w:rPr>
              <w:t>+33 2 28 07 37 10</w:t>
            </w:r>
          </w:p>
        </w:tc>
        <w:tc>
          <w:tcPr>
            <w:tcW w:w="3020" w:type="dxa"/>
            <w:vAlign w:val="bottom"/>
          </w:tcPr>
          <w:p>
            <w:pPr>
              <w:spacing w:after="0"/>
              <w:rPr>
                <w:sz w:val="14"/>
                <w:szCs w:val="14"/>
                <w:color w:val="auto"/>
              </w:rPr>
            </w:pPr>
          </w:p>
        </w:tc>
      </w:tr>
      <w:tr>
        <w:trPr>
          <w:trHeight w:val="184"/>
        </w:trPr>
        <w:tc>
          <w:tcPr>
            <w:tcW w:w="3160" w:type="dxa"/>
            <w:vAlign w:val="bottom"/>
          </w:tcPr>
          <w:p>
            <w:pPr>
              <w:spacing w:after="0"/>
              <w:rPr>
                <w:sz w:val="16"/>
                <w:szCs w:val="16"/>
                <w:color w:val="auto"/>
              </w:rPr>
            </w:pPr>
          </w:p>
        </w:tc>
        <w:tc>
          <w:tcPr>
            <w:tcW w:w="51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(Address and telephone number of registrant’s principal executive offices)</w:t>
            </w:r>
          </w:p>
        </w:tc>
        <w:tc>
          <w:tcPr>
            <w:tcW w:w="3020" w:type="dxa"/>
            <w:vAlign w:val="bottom"/>
          </w:tcPr>
          <w:p>
            <w:pPr>
              <w:spacing w:after="0"/>
              <w:rPr>
                <w:sz w:val="16"/>
                <w:szCs w:val="16"/>
                <w:color w:val="auto"/>
              </w:rPr>
            </w:pPr>
          </w:p>
        </w:tc>
      </w:tr>
      <w:tr>
        <w:trPr>
          <w:trHeight w:val="324"/>
        </w:trPr>
        <w:tc>
          <w:tcPr>
            <w:tcW w:w="3160" w:type="dxa"/>
            <w:vAlign w:val="bottom"/>
          </w:tcPr>
          <w:p>
            <w:pPr>
              <w:spacing w:after="0"/>
              <w:rPr>
                <w:sz w:val="24"/>
                <w:szCs w:val="24"/>
                <w:color w:val="auto"/>
              </w:rPr>
            </w:pPr>
          </w:p>
        </w:tc>
        <w:tc>
          <w:tcPr>
            <w:tcW w:w="51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Valneva USA, Inc.</w:t>
            </w:r>
          </w:p>
        </w:tc>
        <w:tc>
          <w:tcPr>
            <w:tcW w:w="3020" w:type="dxa"/>
            <w:vAlign w:val="bottom"/>
          </w:tcPr>
          <w:p>
            <w:pPr>
              <w:spacing w:after="0"/>
              <w:rPr>
                <w:sz w:val="24"/>
                <w:szCs w:val="24"/>
                <w:color w:val="auto"/>
              </w:rPr>
            </w:pPr>
          </w:p>
        </w:tc>
      </w:tr>
      <w:tr>
        <w:trPr>
          <w:trHeight w:val="170"/>
        </w:trPr>
        <w:tc>
          <w:tcPr>
            <w:tcW w:w="3160" w:type="dxa"/>
            <w:vAlign w:val="bottom"/>
          </w:tcPr>
          <w:p>
            <w:pPr>
              <w:spacing w:after="0"/>
              <w:rPr>
                <w:sz w:val="14"/>
                <w:szCs w:val="14"/>
                <w:color w:val="auto"/>
              </w:rPr>
            </w:pPr>
          </w:p>
        </w:tc>
        <w:tc>
          <w:tcPr>
            <w:tcW w:w="51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4550 Montgomery Avenue, Suite 460</w:t>
            </w:r>
          </w:p>
        </w:tc>
        <w:tc>
          <w:tcPr>
            <w:tcW w:w="302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51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Bethesda, MD 20814</w:t>
            </w:r>
          </w:p>
        </w:tc>
        <w:tc>
          <w:tcPr>
            <w:tcW w:w="3020" w:type="dxa"/>
            <w:vAlign w:val="bottom"/>
          </w:tcPr>
          <w:p>
            <w:pPr>
              <w:spacing w:after="0"/>
              <w:rPr>
                <w:sz w:val="14"/>
                <w:szCs w:val="14"/>
                <w:color w:val="auto"/>
              </w:rPr>
            </w:pPr>
          </w:p>
        </w:tc>
      </w:tr>
      <w:tr>
        <w:trPr>
          <w:trHeight w:val="172"/>
        </w:trPr>
        <w:tc>
          <w:tcPr>
            <w:tcW w:w="3160" w:type="dxa"/>
            <w:vAlign w:val="bottom"/>
          </w:tcPr>
          <w:p>
            <w:pPr>
              <w:spacing w:after="0"/>
              <w:rPr>
                <w:sz w:val="14"/>
                <w:szCs w:val="14"/>
                <w:color w:val="auto"/>
              </w:rPr>
            </w:pPr>
          </w:p>
        </w:tc>
        <w:tc>
          <w:tcPr>
            <w:tcW w:w="5100" w:type="dxa"/>
            <w:vAlign w:val="bottom"/>
          </w:tcPr>
          <w:p>
            <w:pPr>
              <w:jc w:val="right"/>
              <w:ind w:right="2049"/>
              <w:spacing w:after="0"/>
              <w:rPr>
                <w:sz w:val="20"/>
                <w:szCs w:val="20"/>
                <w:color w:val="auto"/>
              </w:rPr>
            </w:pPr>
            <w:r>
              <w:rPr>
                <w:rFonts w:ascii="Times New Roman" w:cs="Times New Roman" w:eastAsia="Times New Roman" w:hAnsi="Times New Roman"/>
                <w:sz w:val="14"/>
                <w:szCs w:val="14"/>
                <w:b w:val="1"/>
                <w:bCs w:val="1"/>
                <w:color w:val="auto"/>
              </w:rPr>
              <w:t>+ 1 301 556 4500</w:t>
            </w:r>
          </w:p>
        </w:tc>
        <w:tc>
          <w:tcPr>
            <w:tcW w:w="3020" w:type="dxa"/>
            <w:vAlign w:val="bottom"/>
          </w:tcPr>
          <w:p>
            <w:pPr>
              <w:spacing w:after="0"/>
              <w:rPr>
                <w:sz w:val="14"/>
                <w:szCs w:val="14"/>
                <w:color w:val="auto"/>
              </w:rPr>
            </w:pPr>
          </w:p>
        </w:tc>
      </w:tr>
      <w:tr>
        <w:trPr>
          <w:trHeight w:val="184"/>
        </w:trPr>
        <w:tc>
          <w:tcPr>
            <w:tcW w:w="3160" w:type="dxa"/>
            <w:vAlign w:val="bottom"/>
          </w:tcPr>
          <w:p>
            <w:pPr>
              <w:spacing w:after="0"/>
              <w:rPr>
                <w:sz w:val="16"/>
                <w:szCs w:val="16"/>
                <w:color w:val="auto"/>
              </w:rPr>
            </w:pPr>
          </w:p>
        </w:tc>
        <w:tc>
          <w:tcPr>
            <w:tcW w:w="51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(Name, address and telephone number of agent for service)</w:t>
            </w:r>
          </w:p>
        </w:tc>
        <w:tc>
          <w:tcPr>
            <w:tcW w:w="3020" w:type="dxa"/>
            <w:vAlign w:val="bottom"/>
          </w:tcPr>
          <w:p>
            <w:pPr>
              <w:spacing w:after="0"/>
              <w:rPr>
                <w:sz w:val="16"/>
                <w:szCs w:val="16"/>
                <w:color w:val="auto"/>
              </w:rPr>
            </w:pPr>
          </w:p>
        </w:tc>
      </w:tr>
    </w:tbl>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of all communications, including communications sent to agent for service, should be sent to:</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rPr>
              <w:t>Marc Recht</w:t>
            </w:r>
          </w:p>
        </w:tc>
        <w:tc>
          <w:tcPr>
            <w:tcW w:w="5480" w:type="dxa"/>
            <w:vAlign w:val="bottom"/>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rPr>
              <w:t>Florent Bouyer</w:t>
            </w:r>
          </w:p>
        </w:tc>
      </w:tr>
      <w:tr>
        <w:trPr>
          <w:trHeight w:val="170"/>
        </w:trPr>
        <w:tc>
          <w:tcPr>
            <w:tcW w:w="5800" w:type="dxa"/>
            <w:vAlign w:val="bottom"/>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w w:val="99"/>
              </w:rPr>
              <w:t>Courtney Thorne</w:t>
            </w:r>
          </w:p>
        </w:tc>
        <w:tc>
          <w:tcPr>
            <w:tcW w:w="5480" w:type="dxa"/>
            <w:vAlign w:val="bottom"/>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rPr>
              <w:t>Jones Day</w:t>
            </w:r>
          </w:p>
        </w:tc>
      </w:tr>
      <w:tr>
        <w:trPr>
          <w:trHeight w:val="170"/>
        </w:trPr>
        <w:tc>
          <w:tcPr>
            <w:tcW w:w="5800" w:type="dxa"/>
            <w:vAlign w:val="bottom"/>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rPr>
              <w:t>Cooley LLP</w:t>
            </w:r>
          </w:p>
        </w:tc>
        <w:tc>
          <w:tcPr>
            <w:tcW w:w="5480" w:type="dxa"/>
            <w:vAlign w:val="bottom"/>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w w:val="99"/>
              </w:rPr>
              <w:t>2 rue Saint-Florentin</w:t>
            </w:r>
          </w:p>
        </w:tc>
      </w:tr>
      <w:tr>
        <w:trPr>
          <w:trHeight w:val="170"/>
        </w:trPr>
        <w:tc>
          <w:tcPr>
            <w:tcW w:w="5800" w:type="dxa"/>
            <w:vAlign w:val="bottom"/>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rPr>
              <w:t>500 Boylston Street, 14th Floor</w:t>
            </w:r>
          </w:p>
        </w:tc>
        <w:tc>
          <w:tcPr>
            <w:tcW w:w="5480" w:type="dxa"/>
            <w:vAlign w:val="bottom"/>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rPr>
              <w:t>75001 Paris, France</w:t>
            </w:r>
          </w:p>
        </w:tc>
      </w:tr>
      <w:tr>
        <w:trPr>
          <w:trHeight w:val="170"/>
        </w:trPr>
        <w:tc>
          <w:tcPr>
            <w:tcW w:w="5800" w:type="dxa"/>
            <w:vAlign w:val="bottom"/>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rPr>
              <w:t>Boston, MA 02116</w:t>
            </w:r>
          </w:p>
        </w:tc>
        <w:tc>
          <w:tcPr>
            <w:tcW w:w="5480" w:type="dxa"/>
            <w:vAlign w:val="bottom"/>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w w:val="99"/>
              </w:rPr>
              <w:t>+33 1 56 59 38 39</w:t>
            </w:r>
          </w:p>
        </w:tc>
      </w:tr>
      <w:tr>
        <w:trPr>
          <w:trHeight w:val="186"/>
        </w:trPr>
        <w:tc>
          <w:tcPr>
            <w:tcW w:w="5800" w:type="dxa"/>
            <w:vAlign w:val="bottom"/>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rPr>
              <w:t>+1 617 937 2300</w:t>
            </w:r>
          </w:p>
        </w:tc>
        <w:tc>
          <w:tcPr>
            <w:tcW w:w="5480" w:type="dxa"/>
            <w:vAlign w:val="bottom"/>
          </w:tcPr>
          <w:p>
            <w:pPr>
              <w:spacing w:after="0"/>
              <w:rPr>
                <w:sz w:val="16"/>
                <w:szCs w:val="16"/>
                <w:color w:val="auto"/>
              </w:rPr>
            </w:pPr>
          </w:p>
        </w:tc>
      </w:tr>
      <w:tr>
        <w:trPr>
          <w:trHeight w:val="425"/>
        </w:trPr>
        <w:tc>
          <w:tcPr>
            <w:tcW w:w="58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7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150"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79"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10" w:lineRule="exact"/>
        <w:rPr>
          <w:sz w:val="20"/>
          <w:szCs w:val="20"/>
          <w:color w:val="auto"/>
        </w:rPr>
      </w:pPr>
    </w:p>
    <w:p>
      <w:pPr>
        <w:ind w:right="100"/>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4" w:lineRule="exact"/>
        <w:rPr>
          <w:sz w:val="20"/>
          <w:szCs w:val="20"/>
          <w:color w:val="auto"/>
        </w:rPr>
      </w:pPr>
    </w:p>
    <w:p>
      <w:pPr>
        <w:ind w:right="300"/>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4" w:lineRule="exact"/>
        <w:rPr>
          <w:sz w:val="20"/>
          <w:szCs w:val="20"/>
          <w:color w:val="auto"/>
        </w:rPr>
      </w:pPr>
    </w:p>
    <w:p>
      <w:pPr>
        <w:ind w:right="100"/>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I.C. or a post-effective amendment thereto that shall become effective on filing with the Commission pursuant to Rule 462(e) under the Securities Act, check the following box. </w:t>
      </w:r>
      <w:r>
        <w:rPr>
          <w:rFonts w:ascii="MS PGothic" w:cs="MS PGothic" w:eastAsia="MS PGothic" w:hAnsi="MS PGothic"/>
          <w:sz w:val="14"/>
          <w:szCs w:val="14"/>
          <w:color w:val="auto"/>
        </w:rPr>
        <w:t>☐</w:t>
      </w:r>
    </w:p>
    <w:p>
      <w:pPr>
        <w:spacing w:after="0" w:line="134"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148"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0" w:lineRule="exact"/>
        <w:rPr>
          <w:sz w:val="20"/>
          <w:szCs w:val="20"/>
          <w:color w:val="auto"/>
        </w:rPr>
      </w:pPr>
    </w:p>
    <w:p>
      <w:pPr>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4" w:lineRule="exact"/>
        <w:rPr>
          <w:sz w:val="20"/>
          <w:szCs w:val="20"/>
          <w:color w:val="auto"/>
        </w:rPr>
      </w:pPr>
    </w:p>
    <w:p>
      <w:pPr>
        <w:ind w:left="260" w:hanging="255"/>
        <w:spacing w:after="0"/>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48" w:lineRule="exact"/>
        <w:rPr>
          <w:sz w:val="20"/>
          <w:szCs w:val="20"/>
          <w:color w:val="auto"/>
        </w:rPr>
      </w:pPr>
    </w:p>
    <w:p>
      <w:pPr>
        <w:jc w:val="both"/>
        <w:ind w:right="220"/>
        <w:spacing w:after="0" w:line="272"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384810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00"/>
          </w:cols>
          <w:pgMar w:left="300" w:top="633" w:right="399" w:bottom="1440" w:gutter="0" w:footer="0" w:header="0"/>
        </w:sectPr>
      </w:pPr>
    </w:p>
    <w:bookmarkStart w:id="2" w:name="page3"/>
    <w:bookmarkEnd w:id="2"/>
    <w:p>
      <w:pPr>
        <w:ind w:right="20"/>
        <w:spacing w:after="0" w:line="287" w:lineRule="auto"/>
        <w:rPr>
          <w:sz w:val="20"/>
          <w:szCs w:val="20"/>
          <w:color w:val="auto"/>
        </w:rPr>
      </w:pPr>
      <w:r>
        <w:rPr>
          <w:rFonts w:ascii="Times New Roman" w:cs="Times New Roman" w:eastAsia="Times New Roman" w:hAnsi="Times New Roman"/>
          <w:sz w:val="14"/>
          <w:szCs w:val="14"/>
          <w:color w:val="FF0000"/>
        </w:rPr>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4338"/>
        </w:rPr>
        <w:t>SUBJECT TO COMPLETION, DATED JUNE 4,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124460</wp:posOffset>
            </wp:positionV>
            <wp:extent cx="2070100" cy="28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010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31,787,634</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American Depositary Shares representing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36" w:lineRule="exact"/>
        <w:rPr>
          <w:sz w:val="20"/>
          <w:szCs w:val="20"/>
          <w:color w:val="auto"/>
        </w:rPr>
      </w:pPr>
    </w:p>
    <w:p>
      <w:pPr>
        <w:jc w:val="both"/>
        <w:ind w:firstLine="347"/>
        <w:spacing w:after="0" w:line="261" w:lineRule="auto"/>
        <w:rPr>
          <w:sz w:val="20"/>
          <w:szCs w:val="20"/>
          <w:color w:val="auto"/>
        </w:rPr>
      </w:pPr>
      <w:r>
        <w:rPr>
          <w:rFonts w:ascii="Times New Roman" w:cs="Times New Roman" w:eastAsia="Times New Roman" w:hAnsi="Times New Roman"/>
          <w:sz w:val="14"/>
          <w:szCs w:val="14"/>
          <w:color w:val="auto"/>
        </w:rPr>
        <w:t>This prospectus relates to the offer and resale from time to time by the selling securityholders identified in this prospectus, or the selling securityholders, of up 31,787,634 ordinary shares, nominal value €0.15 per share (the “Resale Shares”) of Valneva SE, or the Company, which may be represented by American Depositary Shares, or ADSs. These Resale Shares consist of (i) up to 15,893,817 issued and outstanding ordinary shares, and (ii) up to 15,893,817 ordinary shares (the “ABSA Warrant Shares”) issuable upon the exercise of warrants to purchase ordinary shares (the “ABSA Warrants”). The selling securityholders acquired the Resale Shares, or the securities giving rights to the Resale Shares, pursuant to the securities purchase agreement dated April 29, 2026 by and between the Company and the selling securityholders (the “Securities Purchase Agreement”).</w:t>
      </w:r>
    </w:p>
    <w:p>
      <w:pPr>
        <w:spacing w:after="0" w:line="144" w:lineRule="exact"/>
        <w:rPr>
          <w:sz w:val="20"/>
          <w:szCs w:val="20"/>
          <w:color w:val="auto"/>
        </w:rPr>
      </w:pPr>
    </w:p>
    <w:p>
      <w:pPr>
        <w:jc w:val="both"/>
        <w:ind w:firstLine="347"/>
        <w:spacing w:after="0" w:line="287" w:lineRule="auto"/>
        <w:rPr>
          <w:sz w:val="20"/>
          <w:szCs w:val="20"/>
          <w:color w:val="auto"/>
        </w:rPr>
      </w:pPr>
      <w:r>
        <w:rPr>
          <w:rFonts w:ascii="Times New Roman" w:cs="Times New Roman" w:eastAsia="Times New Roman" w:hAnsi="Times New Roman"/>
          <w:sz w:val="14"/>
          <w:szCs w:val="14"/>
          <w:color w:val="auto"/>
        </w:rPr>
        <w:t>We are registering the offer and sale of the Resale Shares by the selling securityholders to satisfy our obligations to them pursuant to a registration rights agreement dated April 29, 2026 (the “Registration Rights Agreement”) by and among the Company and the selling securityholders. We will not receive any proceeds from the sale of the Resale Shares by the selling securityholders.</w:t>
      </w:r>
    </w:p>
    <w:p>
      <w:pPr>
        <w:spacing w:after="0" w:line="125" w:lineRule="exact"/>
        <w:rPr>
          <w:sz w:val="20"/>
          <w:szCs w:val="20"/>
          <w:color w:val="auto"/>
        </w:rPr>
      </w:pPr>
    </w:p>
    <w:p>
      <w:pPr>
        <w:jc w:val="both"/>
        <w:ind w:firstLine="347"/>
        <w:spacing w:after="0" w:line="264" w:lineRule="auto"/>
        <w:rPr>
          <w:sz w:val="20"/>
          <w:szCs w:val="20"/>
          <w:color w:val="auto"/>
        </w:rPr>
      </w:pPr>
      <w:r>
        <w:rPr>
          <w:rFonts w:ascii="Times New Roman" w:cs="Times New Roman" w:eastAsia="Times New Roman" w:hAnsi="Times New Roman"/>
          <w:sz w:val="14"/>
          <w:szCs w:val="14"/>
          <w:color w:val="auto"/>
        </w:rPr>
        <w:t>The selling securityholders may, from time to time, offer, sell, transfer or otherwise dispose of any or all of the Resale Shares described in this prospectus from time to time through public or private transactions. These transactions may be at prevailing market prices at the time of sale, at prices related to the prevailing market price or at negotiated prices. The selling securityholders will bear all underwriting fees, commissions and discounts, if any, attributable to the sales of Resale Shares and any transfer taxes We will bear all other costs, expenses and fees in connection with the registration of the Resale Shares. See “Plan of Distribution” for more information about how the selling securityholders may sell or dispose of their Resale Shares.</w:t>
      </w:r>
    </w:p>
    <w:p>
      <w:pPr>
        <w:spacing w:after="0" w:line="141" w:lineRule="exact"/>
        <w:rPr>
          <w:sz w:val="20"/>
          <w:szCs w:val="20"/>
          <w:color w:val="auto"/>
        </w:rPr>
      </w:pPr>
    </w:p>
    <w:p>
      <w:pPr>
        <w:jc w:val="both"/>
        <w:ind w:firstLine="347"/>
        <w:spacing w:after="0" w:line="270" w:lineRule="auto"/>
        <w:rPr>
          <w:sz w:val="20"/>
          <w:szCs w:val="20"/>
          <w:color w:val="auto"/>
        </w:rPr>
      </w:pPr>
      <w:r>
        <w:rPr>
          <w:rFonts w:ascii="Times New Roman" w:cs="Times New Roman" w:eastAsia="Times New Roman" w:hAnsi="Times New Roman"/>
          <w:sz w:val="14"/>
          <w:szCs w:val="14"/>
          <w:color w:val="auto"/>
        </w:rPr>
        <w:t>Our ADSs are listed on the Nasdaq Global Select Market under the symbol “VALN.” On June 3, 2026, the last reported sale price of the ADSs on the Nasdaq Global Select Market was $5.58 per ADS. Our ordinary shares are listed on the regulated market of Euronext in Paris under the symbol “VLA.” On June 3, 2026, the closing price of our ordinary shares on the regulated market of Euronext in Paris was €2.378 per ordinary share. Each ADS represents two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386080</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3" w:name="page4"/>
    <w:bookmarkEnd w:id="3"/>
    <w:p>
      <w:pPr>
        <w:jc w:val="both"/>
        <w:spacing w:after="0" w:line="272"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Before deciding whether to invest in our securities, you should consider carefully the risks that we have described on page 6 of this prospectus under the caption “Risk Factors” and under the caption “Risk Factors” in our most recent Annual Report on Form 20-F, any related free writing prospectus we have authorized for use in connection with a specific offering and any documents incorporated by reference in this prospectus.</w:t>
      </w:r>
    </w:p>
    <w:p>
      <w:pPr>
        <w:spacing w:after="0" w:line="1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common shares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ind w:left="4380"/>
              <w:spacing w:after="0"/>
              <w:rPr>
                <w:sz w:val="20"/>
                <w:szCs w:val="20"/>
                <w:color w:val="auto"/>
              </w:rPr>
            </w:pPr>
            <w:r>
              <w:rPr>
                <w:rFonts w:ascii="Times New Roman" w:cs="Times New Roman" w:eastAsia="Times New Roman" w:hAnsi="Times New Roman"/>
                <w:sz w:val="14"/>
                <w:szCs w:val="14"/>
                <w:b w:val="1"/>
                <w:bCs w:val="1"/>
                <w:color w:val="auto"/>
              </w:rPr>
              <w:t>The date of this prospectus is</w:t>
            </w:r>
          </w:p>
        </w:tc>
        <w:tc>
          <w:tcPr>
            <w:tcW w:w="4960" w:type="dxa"/>
            <w:vAlign w:val="bottom"/>
          </w:tcPr>
          <w:p>
            <w:pPr>
              <w:jc w:val="right"/>
              <w:ind w:right="4289"/>
              <w:spacing w:after="0"/>
              <w:rPr>
                <w:sz w:val="20"/>
                <w:szCs w:val="20"/>
                <w:color w:val="auto"/>
              </w:rPr>
            </w:pPr>
            <w:r>
              <w:rPr>
                <w:rFonts w:ascii="Times New Roman" w:cs="Times New Roman" w:eastAsia="Times New Roman" w:hAnsi="Times New Roman"/>
                <w:sz w:val="14"/>
                <w:szCs w:val="14"/>
                <w:b w:val="1"/>
                <w:bCs w:val="1"/>
                <w:color w:val="auto"/>
              </w:rPr>
              <w:t>, 2026.</w:t>
            </w:r>
          </w:p>
        </w:tc>
      </w:tr>
      <w:tr>
        <w:trPr>
          <w:trHeight w:val="436"/>
        </w:trPr>
        <w:tc>
          <w:tcPr>
            <w:tcW w:w="63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33" w:right="3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40" w:type="dxa"/>
            <w:vAlign w:val="bottom"/>
            <w:gridSpan w:val="3"/>
          </w:tcPr>
          <w:p>
            <w:pPr>
              <w:jc w:val="right"/>
              <w:ind w:right="49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40"/>
        </w:trPr>
        <w:tc>
          <w:tcPr>
            <w:tcW w:w="17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2900" w:type="dxa"/>
            <w:vAlign w:val="bottom"/>
            <w:gridSpan w:val="8"/>
            <w:vMerge w:val="restart"/>
          </w:tcPr>
          <w:p>
            <w:pPr>
              <w:spacing w:after="0"/>
              <w:rPr>
                <w:sz w:val="24"/>
                <w:szCs w:val="24"/>
                <w:color w:val="auto"/>
              </w:rPr>
            </w:pPr>
          </w:p>
        </w:tc>
        <w:tc>
          <w:tcPr>
            <w:tcW w:w="584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24"/>
        </w:trPr>
        <w:tc>
          <w:tcPr>
            <w:tcW w:w="1760" w:type="dxa"/>
            <w:vAlign w:val="bottom"/>
            <w:tcBorders>
              <w:bottom w:val="single" w:sz="8" w:color="0000EE"/>
            </w:tcBorders>
            <w:gridSpan w:val="9"/>
            <w:vMerge w:val="continue"/>
          </w:tcPr>
          <w:p>
            <w:pPr>
              <w:spacing w:after="0"/>
              <w:rPr>
                <w:sz w:val="10"/>
                <w:szCs w:val="10"/>
                <w:color w:val="auto"/>
              </w:rPr>
            </w:pPr>
          </w:p>
        </w:tc>
        <w:tc>
          <w:tcPr>
            <w:tcW w:w="2900" w:type="dxa"/>
            <w:vAlign w:val="bottom"/>
            <w:gridSpan w:val="8"/>
            <w:vMerge w:val="continue"/>
          </w:tcPr>
          <w:p>
            <w:pPr>
              <w:spacing w:after="0"/>
              <w:rPr>
                <w:sz w:val="10"/>
                <w:szCs w:val="10"/>
                <w:color w:val="auto"/>
              </w:rPr>
            </w:pPr>
          </w:p>
        </w:tc>
        <w:tc>
          <w:tcPr>
            <w:tcW w:w="5840" w:type="dxa"/>
            <w:vAlign w:val="bottom"/>
          </w:tcPr>
          <w:p>
            <w:pPr>
              <w:spacing w:after="0"/>
              <w:rPr>
                <w:sz w:val="10"/>
                <w:szCs w:val="10"/>
                <w:color w:val="auto"/>
              </w:rPr>
            </w:pPr>
          </w:p>
        </w:tc>
        <w:tc>
          <w:tcPr>
            <w:tcW w:w="78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66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PROSPECTUS SUMMARY</w:t>
            </w:r>
          </w:p>
        </w:tc>
        <w:tc>
          <w:tcPr>
            <w:tcW w:w="6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50"/>
        </w:trPr>
        <w:tc>
          <w:tcPr>
            <w:tcW w:w="1640" w:type="dxa"/>
            <w:vAlign w:val="bottom"/>
            <w:tcBorders>
              <w:top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EE"/>
              </w:rPr>
              <w:t>RISK FACTORS</w:t>
            </w:r>
          </w:p>
        </w:tc>
        <w:tc>
          <w:tcPr>
            <w:tcW w:w="3020" w:type="dxa"/>
            <w:vAlign w:val="bottom"/>
            <w:gridSpan w:val="9"/>
          </w:tcPr>
          <w:p>
            <w:pPr>
              <w:spacing w:after="0"/>
              <w:rPr>
                <w:sz w:val="13"/>
                <w:szCs w:val="13"/>
                <w:color w:val="auto"/>
              </w:rPr>
            </w:pPr>
          </w:p>
        </w:tc>
        <w:tc>
          <w:tcPr>
            <w:tcW w:w="66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6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66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50"/>
        </w:trPr>
        <w:tc>
          <w:tcPr>
            <w:tcW w:w="4200" w:type="dxa"/>
            <w:vAlign w:val="bottom"/>
            <w:tcBorders>
              <w:top w:val="single" w:sz="8" w:color="0000EE"/>
            </w:tcBorders>
            <w:gridSpan w:val="15"/>
          </w:tcPr>
          <w:p>
            <w:pPr>
              <w:spacing w:after="0" w:line="150" w:lineRule="exact"/>
              <w:rPr>
                <w:sz w:val="20"/>
                <w:szCs w:val="20"/>
                <w:color w:val="auto"/>
              </w:rPr>
            </w:pPr>
            <w:r>
              <w:rPr>
                <w:rFonts w:ascii="Times New Roman" w:cs="Times New Roman" w:eastAsia="Times New Roman" w:hAnsi="Times New Roman"/>
                <w:sz w:val="14"/>
                <w:szCs w:val="14"/>
                <w:color w:val="0000EE"/>
              </w:rPr>
              <w:t>USE OF PROCEEDS</w:t>
            </w:r>
          </w:p>
        </w:tc>
        <w:tc>
          <w:tcPr>
            <w:tcW w:w="460" w:type="dxa"/>
            <w:vAlign w:val="bottom"/>
            <w:gridSpan w:val="2"/>
          </w:tcPr>
          <w:p>
            <w:pPr>
              <w:spacing w:after="0"/>
              <w:rPr>
                <w:sz w:val="13"/>
                <w:szCs w:val="13"/>
                <w:color w:val="auto"/>
              </w:rPr>
            </w:pPr>
          </w:p>
        </w:tc>
        <w:tc>
          <w:tcPr>
            <w:tcW w:w="66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620" w:type="dxa"/>
            <w:vAlign w:val="bottom"/>
            <w:tcBorders>
              <w:bottom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3040" w:type="dxa"/>
            <w:vAlign w:val="bottom"/>
            <w:gridSpan w:val="10"/>
          </w:tcPr>
          <w:p>
            <w:pPr>
              <w:spacing w:after="0"/>
              <w:rPr>
                <w:sz w:val="13"/>
                <w:szCs w:val="13"/>
                <w:color w:val="auto"/>
              </w:rPr>
            </w:pPr>
          </w:p>
        </w:tc>
        <w:tc>
          <w:tcPr>
            <w:tcW w:w="662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66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DESCRIPTION OF SHARE CAPITAL AND ARTICLES OF ASSOCIATION</w:t>
            </w:r>
          </w:p>
        </w:tc>
        <w:tc>
          <w:tcPr>
            <w:tcW w:w="662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80" w:type="dxa"/>
            <w:vAlign w:val="bottom"/>
            <w:tcBorders>
              <w:top w:val="single" w:sz="8" w:color="0000EE"/>
              <w:bottom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EE"/>
              </w:rPr>
              <w:t>SELLING SECURITYHOLDERS</w:t>
            </w:r>
          </w:p>
        </w:tc>
        <w:tc>
          <w:tcPr>
            <w:tcW w:w="2500" w:type="dxa"/>
            <w:vAlign w:val="bottom"/>
            <w:tcBorders>
              <w:top w:val="single" w:sz="8" w:color="0000EE"/>
            </w:tcBorders>
            <w:gridSpan w:val="6"/>
          </w:tcPr>
          <w:p>
            <w:pPr>
              <w:spacing w:after="0"/>
              <w:rPr>
                <w:sz w:val="13"/>
                <w:szCs w:val="13"/>
                <w:color w:val="auto"/>
              </w:rPr>
            </w:pPr>
          </w:p>
        </w:tc>
        <w:tc>
          <w:tcPr>
            <w:tcW w:w="180" w:type="dxa"/>
            <w:vAlign w:val="bottom"/>
          </w:tcPr>
          <w:p>
            <w:pPr>
              <w:spacing w:after="0"/>
              <w:rPr>
                <w:sz w:val="13"/>
                <w:szCs w:val="13"/>
                <w:color w:val="auto"/>
              </w:rPr>
            </w:pPr>
          </w:p>
        </w:tc>
        <w:tc>
          <w:tcPr>
            <w:tcW w:w="662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66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TAXATION</w:t>
            </w:r>
          </w:p>
        </w:tc>
        <w:tc>
          <w:tcPr>
            <w:tcW w:w="662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6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662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Borders>
              <w:top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rPr>
              <w:t>EXPERTS</w:t>
            </w:r>
          </w:p>
        </w:tc>
        <w:tc>
          <w:tcPr>
            <w:tcW w:w="3520" w:type="dxa"/>
            <w:vAlign w:val="bottom"/>
            <w:gridSpan w:val="13"/>
          </w:tcPr>
          <w:p>
            <w:pPr>
              <w:spacing w:after="0"/>
              <w:rPr>
                <w:sz w:val="13"/>
                <w:szCs w:val="13"/>
                <w:color w:val="auto"/>
              </w:rPr>
            </w:pPr>
          </w:p>
        </w:tc>
        <w:tc>
          <w:tcPr>
            <w:tcW w:w="662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6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MATERIAL CHANGES</w:t>
            </w:r>
          </w:p>
        </w:tc>
        <w:tc>
          <w:tcPr>
            <w:tcW w:w="662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940" w:type="dxa"/>
            <w:vAlign w:val="bottom"/>
            <w:tcBorders>
              <w:bottom w:val="single" w:sz="8" w:color="0000EE"/>
            </w:tcBorders>
            <w:gridSpan w:val="14"/>
          </w:tcPr>
          <w:p>
            <w:pPr>
              <w:spacing w:after="0" w:line="150" w:lineRule="exact"/>
              <w:rPr>
                <w:sz w:val="20"/>
                <w:szCs w:val="20"/>
                <w:color w:val="auto"/>
              </w:rPr>
            </w:pPr>
            <w:r>
              <w:rPr>
                <w:rFonts w:ascii="Times New Roman" w:cs="Times New Roman" w:eastAsia="Times New Roman" w:hAnsi="Times New Roman"/>
                <w:sz w:val="14"/>
                <w:szCs w:val="14"/>
                <w:color w:val="0000EE"/>
              </w:rPr>
              <w:t>SERVICE OF PROCESS AND ENFORCEMENT OF LIABILITIES</w:t>
            </w:r>
          </w:p>
        </w:tc>
        <w:tc>
          <w:tcPr>
            <w:tcW w:w="720" w:type="dxa"/>
            <w:vAlign w:val="bottom"/>
            <w:gridSpan w:val="3"/>
          </w:tcPr>
          <w:p>
            <w:pPr>
              <w:spacing w:after="0"/>
              <w:rPr>
                <w:sz w:val="13"/>
                <w:szCs w:val="13"/>
                <w:color w:val="auto"/>
              </w:rPr>
            </w:pPr>
          </w:p>
        </w:tc>
        <w:tc>
          <w:tcPr>
            <w:tcW w:w="662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66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662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360" w:type="dxa"/>
            <w:vAlign w:val="bottom"/>
            <w:tcBorders>
              <w:bottom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DOCUMENTS BY REFERENCE</w:t>
            </w:r>
          </w:p>
        </w:tc>
        <w:tc>
          <w:tcPr>
            <w:tcW w:w="1300" w:type="dxa"/>
            <w:vAlign w:val="bottom"/>
            <w:gridSpan w:val="4"/>
          </w:tcPr>
          <w:p>
            <w:pPr>
              <w:spacing w:after="0"/>
              <w:rPr>
                <w:sz w:val="13"/>
                <w:szCs w:val="13"/>
                <w:color w:val="auto"/>
              </w:rPr>
            </w:pPr>
          </w:p>
        </w:tc>
        <w:tc>
          <w:tcPr>
            <w:tcW w:w="662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66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EXPENSES ASSOCIATED WITH REGISTRATION</w:t>
            </w:r>
          </w:p>
        </w:tc>
        <w:tc>
          <w:tcPr>
            <w:tcW w:w="662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8"/>
        </w:trPr>
        <w:tc>
          <w:tcPr>
            <w:tcW w:w="6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33"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prospectus is a part of a registration statement on Form F-3 that we filed with the U.S. Securities and Exchange Commission (the “SEC”) utilizing a “shelf” registration process. Under this shelf registration process, certain selling securityholders may from time to time sell our ordinary shares, ordinary shares in the form of ADSs or any combination thereof described in this prospectus in one or more offerings or otherwise as described under “Plan of Distribution.” This prospectus only provides you with a general description of the securities we may offer.</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shares and the distribution of this prospectus outside the United States.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prospectus may be supplemented from time to time by one or more prospectus supplements. Such prospectus supplements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together with additional information described under the heading “Where You Can Find More Information” before deciding to invest in any shares being offered.</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 this prospectus and in any free writing prospectus that we authorized for use in connection with this offering. We have not, and the sales agent has not, authorized anyone to provide you with different information. If anyone provides you with different or inconsistent information, you should not rely on it. We are not, and the sales agent is not, making an offer to sell these securities in any jurisdiction where the offer or sale is not permitted. You should assume that the information appearing in this prospectus, the documents incorporated by reference in this prospectus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 this prospectus and any free writing prospectus that we have authorized for use in connection with this offering in their entirety before making an investment decision.</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4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We were incorporated under the laws of France. Under the rules of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indicated, all references in this prospectus to, “Valneva,” “the company,” “our company,” “we,” “us” and “our” refer to Valneva SE and its consolidated subsidiaries.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190500</wp:posOffset>
            </wp:positionH>
            <wp:positionV relativeFrom="page">
              <wp:posOffset>409575</wp:posOffset>
            </wp:positionV>
            <wp:extent cx="7113905" cy="4396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3905" cy="4396105"/>
                    </a:xfrm>
                    <a:prstGeom prst="rect">
                      <a:avLst/>
                    </a:prstGeom>
                    <a:noFill/>
                  </pic:spPr>
                </pic:pic>
              </a:graphicData>
            </a:graphic>
          </wp:anchor>
        </w:drawing>
        <w:t>PROSPECTUS SUMMARY</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summary highlights certain information about us, this offering and selected information contained elsewhere in or incorporated by reference into this prospectus, and does not contain all of the information that you need to consider in making your investment decision. For a more complete understanding of our business and this offering, you should carefully read the entire prospectus and the documents incorporated by reference herein, including our consolidated financial statements and the notes thereto, which are incorporated herein by reference. Investing in our securities involves risks. Therefore, carefully consider the risk factors set forth in this prospectus and in our most recent filings with the SEC including our Annual Reports on Form 20-F and reports on Form 6-K, as well as other information in this prospectus 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81" w:lineRule="exact"/>
        <w:rPr>
          <w:sz w:val="20"/>
          <w:szCs w:val="20"/>
          <w:color w:val="auto"/>
        </w:rPr>
      </w:pPr>
    </w:p>
    <w:p>
      <w:pPr>
        <w:jc w:val="both"/>
        <w:ind w:firstLine="1"/>
        <w:spacing w:after="0" w:line="287" w:lineRule="auto"/>
        <w:rPr>
          <w:sz w:val="20"/>
          <w:szCs w:val="20"/>
          <w:color w:val="auto"/>
        </w:rPr>
      </w:pPr>
      <w:r>
        <w:rPr>
          <w:rFonts w:ascii="Times New Roman" w:cs="Times New Roman" w:eastAsia="Times New Roman" w:hAnsi="Times New Roman"/>
          <w:sz w:val="14"/>
          <w:szCs w:val="14"/>
          <w:color w:val="auto"/>
        </w:rPr>
        <w:t>Please see the section entitled “Information on the Company – Business Overview,” incorporated by reference from our Annual Report on Form 20-F for the fiscal year ended December 31, 2025, filed with the SEC on March 17, 2026, as well as any amendments thereto reflected in our subsequent filings with the SEC.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Private Placement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Purchase Agreement</w:t>
      </w:r>
    </w:p>
    <w:p>
      <w:pPr>
        <w:spacing w:after="0" w:line="18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4"/>
          <w:szCs w:val="14"/>
          <w:color w:val="auto"/>
        </w:rPr>
        <w:t xml:space="preserve">On April 29, 2026, we entered into a securities purchase agreement (the “Securities Purchase Agreement”) with the investors named therein (each an “Investor,” and together, the “Investors”), pursuant to which we agreed to issue and sell to the Investors in a private placement (the “Private Placement”) 15,893,817 new Ordinary Shares, nominal value €0.15 per share (the “New Shares”), each New Share with a warrant attached (a “Warrant” and, together with the New Share to which it is attached, an “ABSA”, or </w:t>
      </w:r>
      <w:r>
        <w:rPr>
          <w:rFonts w:ascii="Times New Roman" w:cs="Times New Roman" w:eastAsia="Times New Roman" w:hAnsi="Times New Roman"/>
          <w:sz w:val="14"/>
          <w:szCs w:val="14"/>
          <w:i w:val="1"/>
          <w:iCs w:val="1"/>
          <w:color w:val="auto"/>
        </w:rPr>
        <w:t>Actions à Bons de Souscription d’Actions</w:t>
      </w:r>
      <w:r>
        <w:rPr>
          <w:rFonts w:ascii="Times New Roman" w:cs="Times New Roman" w:eastAsia="Times New Roman" w:hAnsi="Times New Roman"/>
          <w:sz w:val="14"/>
          <w:szCs w:val="14"/>
          <w:color w:val="auto"/>
        </w:rPr>
        <w:t>) exercisable for one Ordinary Share at a subscription price of €2.33 per ABSA. On May 5, 2026, we closed the Private Placement and issued an aggregate of 31,787,634 Ordinary Shares, nominal value €0.15 per share (the “Resale Shares”), consisting of (i) up to 15,893,817 issued and outstanding Ordinary Shares, and (ii) up to 15,893,817 Ordinary Shares (the “ABSA Warrant Shares”) issuable upon the exercise of warrants to purchase ordinary shares (the “ABSA Warrants”).</w:t>
      </w:r>
    </w:p>
    <w:p>
      <w:pPr>
        <w:spacing w:after="0" w:line="14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color w:val="auto"/>
        </w:rPr>
        <w:t>Each Warrant entitles its holder to subscribe to one Warrant Share at an exercise price of €2.96 per Warrant Share, representing a premium of 25% to the volume-weighted average price of the Ordinary Shares on the regulated market of Euronext Paris over the three trading days preceding the setting of such issue price, i.e. April 27, 28 and 29, 2026 (i.e. €2.37), subject to standard adjustments. The Warrants may be exercised, in whole or in part, for cash, at any time from the business day immediately following their issuance to the earlier of (i) the 30th calendar day following receipt by us of the FDA regulatory approval for its investigational 6-valent OspA-based Lyme disease vaccine candidate (LB6V, formerly known as VLA15) (the “FDA Approval”) and (ii) the third business day (included) prior to March 31, 2028 (the “Maturity Date” and such period, the “Exercise Period”). If, as of March 1, 2028, the FDA Approval has not been obtained by the us, the Maturity Date shall automatically be extended to September 30, 2028 and the Exercise Period shall be correspondingly extended.</w:t>
      </w:r>
    </w:p>
    <w:p>
      <w:pPr>
        <w:spacing w:after="0" w:line="14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The Warrants provide that the holder will not have the right to exercise any portion of its Warrants if such holder, together with its affiliates, would beneficially own in excess of 9.99% of the number of Ordinary Shares outstanding immediately after giving effect to such exercise (the “Beneficial Ownership Limitation”). The holder may increase or decrease the Beneficial Ownership Limitation, provided that (i) to the extent required by the French foreign direct investment regime (“French FDI Regime”), the holder may only increase the Beneficial Ownership Limitation above 9.99% if the holder has obtained from the French Ministry of Economy through an authorization request or prior notification, in accordance with the French FDI Regime and (ii) in no event will the Beneficial Ownership Limitation exceed 19.99%. Any increase in the Beneficial Ownership Limitation will not be effective until the 61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4"/>
          <w:szCs w:val="14"/>
          <w:color w:val="auto"/>
        </w:rPr>
        <w:t xml:space="preserve"> day after such notice is delivered to us.</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15240</wp:posOffset>
            </wp:positionV>
            <wp:extent cx="716153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920"/>
          </w:cols>
          <w:pgMar w:left="440" w:top="930"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190500</wp:posOffset>
            </wp:positionH>
            <wp:positionV relativeFrom="page">
              <wp:posOffset>409575</wp:posOffset>
            </wp:positionV>
            <wp:extent cx="7113905" cy="2366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3905" cy="2366010"/>
                    </a:xfrm>
                    <a:prstGeom prst="rect">
                      <a:avLst/>
                    </a:prstGeom>
                    <a:noFill/>
                  </pic:spPr>
                </pic:pic>
              </a:graphicData>
            </a:graphic>
          </wp:anchor>
        </w:drawing>
        <w:t>Registration Rights Agreement</w:t>
      </w:r>
    </w:p>
    <w:p>
      <w:pPr>
        <w:spacing w:after="0" w:line="181"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4"/>
          <w:szCs w:val="14"/>
          <w:color w:val="auto"/>
        </w:rPr>
        <w:t>On April 29, 2026, in connection with the Private Placement, we entered into a registration rights agreement (the “Registration Rights Agreement”) with the Investors, pursuant to which we agreed to register the New Shares and Warrant Shares for resale (together, the “Registrable Securities”). Under the Registration Rights Agreement, we have agreed to file this registration statement covering the resale of the Registrable Securities by no later than 30 days after the Closing Date (the “Filing Deadline”) and to use reasonable best efforts to cause such registration statement to be declared effective as soon as practicable, but no later than the earlier of (a)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calendar day following the initial filing date of the registration statement if the U.S.</w:t>
      </w:r>
    </w:p>
    <w:p>
      <w:pPr>
        <w:spacing w:after="0" w:line="2"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4"/>
          <w:szCs w:val="14"/>
          <w:color w:val="auto"/>
        </w:rPr>
        <w:t>Securities and Exchange Commission (the “SEC”) notifies us that it will “review” the registration statement and (b)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business day after the date we are notified (orally or in writing, whichever is earlier) by the SEC that the initial registration statement will not be “reviewed” or will not be subject to further review(the “Effectiveness Deadline”). We also agreed to use reasonable efforts to keep such registration statement continuously effective until the date the Registrable Securities covered by such registration statement have been sold or may be resold pursuant to Rule 144 without restriction. We have agreed to be responsible for all reasonable fees and expenses incurred in connection with the registration of the Registrable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Please see the section entitled “Information on the Company – History and development of the company,” incorporated by reference from our Annual Report on Form 20-F for the fiscal year ended December 31, 2025, filed with the SEC on March 17, 2026, as well as any amendments thereto reflected in our subsequent filings with the SEC.</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15240</wp:posOffset>
            </wp:positionV>
            <wp:extent cx="71615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920"/>
          </w:cols>
          <w:pgMar w:left="440" w:top="930" w:right="539"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190500</wp:posOffset>
            </wp:positionH>
            <wp:positionV relativeFrom="page">
              <wp:posOffset>409575</wp:posOffset>
            </wp:positionV>
            <wp:extent cx="7113905" cy="1678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3905" cy="1678305"/>
                    </a:xfrm>
                    <a:prstGeom prst="rect">
                      <a:avLst/>
                    </a:prstGeom>
                    <a:noFill/>
                  </pic:spPr>
                </pic:pic>
              </a:graphicData>
            </a:graphic>
          </wp:anchor>
        </w:drawing>
        <w:t>Implications of Being a Foreign Private Issuer</w:t>
      </w:r>
    </w:p>
    <w:p>
      <w:pPr>
        <w:spacing w:after="0" w:line="181" w:lineRule="exact"/>
        <w:rPr>
          <w:sz w:val="20"/>
          <w:szCs w:val="20"/>
          <w:color w:val="auto"/>
        </w:rPr>
      </w:pPr>
    </w:p>
    <w:p>
      <w:pPr>
        <w:jc w:val="both"/>
        <w:ind w:left="8" w:right="20" w:firstLine="255"/>
        <w:spacing w:after="0" w:line="260" w:lineRule="auto"/>
        <w:rPr>
          <w:sz w:val="20"/>
          <w:szCs w:val="20"/>
          <w:color w:val="auto"/>
        </w:rPr>
      </w:pPr>
      <w:r>
        <w:rPr>
          <w:rFonts w:ascii="Times New Roman" w:cs="Times New Roman" w:eastAsia="Times New Roman" w:hAnsi="Times New Roman"/>
          <w:sz w:val="14"/>
          <w:szCs w:val="14"/>
          <w:color w:val="auto"/>
        </w:rPr>
        <w:t>We are considered a “foreign private issuer” under U.S. securities laws. In our capacity as a foreign private issuer, we are exempt from certain rules under the U.S. Securities Exchange Act of 1934, as amended, or the Exchange Act, that impose certain disclosure obligations and procedural requirements for proxy solicitations under Section 14 of the Exchange Act. In addition, members of our Executive Committee and Board of Directors and our principal securityholders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43" w:lineRule="exact"/>
        <w:rPr>
          <w:sz w:val="20"/>
          <w:szCs w:val="20"/>
          <w:color w:val="auto"/>
        </w:rPr>
      </w:pPr>
    </w:p>
    <w:p>
      <w:pPr>
        <w:jc w:val="both"/>
        <w:ind w:left="8" w:firstLine="255"/>
        <w:spacing w:after="0" w:line="263" w:lineRule="auto"/>
        <w:rPr>
          <w:sz w:val="20"/>
          <w:szCs w:val="20"/>
          <w:color w:val="auto"/>
        </w:rPr>
      </w:pPr>
      <w:r>
        <w:rPr>
          <w:rFonts w:ascii="Times New Roman" w:cs="Times New Roman" w:eastAsia="Times New Roman" w:hAnsi="Times New Roman"/>
          <w:sz w:val="14"/>
          <w:szCs w:val="14"/>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w:t>
      </w:r>
    </w:p>
    <w:p>
      <w:pPr>
        <w:spacing w:after="0" w:line="1" w:lineRule="exact"/>
        <w:rPr>
          <w:sz w:val="20"/>
          <w:szCs w:val="20"/>
          <w:color w:val="auto"/>
        </w:rPr>
      </w:pPr>
    </w:p>
    <w:p>
      <w:pPr>
        <w:ind w:left="208" w:hanging="208"/>
        <w:spacing w:after="0"/>
        <w:tabs>
          <w:tab w:leader="none" w:pos="20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than 50% of our assets are located in the United States; or (3) our business is administered principally in the United States.</w:t>
      </w:r>
    </w:p>
    <w:p>
      <w:pPr>
        <w:spacing w:after="0" w:line="200" w:lineRule="exact"/>
        <w:rPr>
          <w:rFonts w:ascii="Times New Roman" w:cs="Times New Roman" w:eastAsia="Times New Roman" w:hAnsi="Times New Roman"/>
          <w:sz w:val="14"/>
          <w:szCs w:val="14"/>
          <w:color w:val="auto"/>
        </w:rPr>
      </w:pPr>
    </w:p>
    <w:p>
      <w:pPr>
        <w:spacing w:after="0" w:line="346" w:lineRule="exact"/>
        <w:rPr>
          <w:rFonts w:ascii="Times New Roman" w:cs="Times New Roman" w:eastAsia="Times New Roman" w:hAnsi="Times New Roman"/>
          <w:sz w:val="14"/>
          <w:szCs w:val="14"/>
          <w:color w:val="auto"/>
        </w:rPr>
      </w:pPr>
    </w:p>
    <w:p>
      <w:pPr>
        <w:ind w:left="546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15240</wp:posOffset>
            </wp:positionV>
            <wp:extent cx="71615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948"/>
          </w:cols>
          <w:pgMar w:left="432" w:top="930" w:right="51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471"/>
        </w:trPr>
        <w:tc>
          <w:tcPr>
            <w:tcW w:w="4200" w:type="dxa"/>
            <w:vAlign w:val="bottom"/>
            <w:tcBorders>
              <w:top w:val="single" w:sz="8" w:color="auto"/>
              <w:left w:val="single" w:sz="8" w:color="auto"/>
            </w:tcBorders>
          </w:tcPr>
          <w:p>
            <w:pPr>
              <w:spacing w:after="0"/>
              <w:rPr>
                <w:sz w:val="24"/>
                <w:szCs w:val="24"/>
                <w:color w:val="auto"/>
              </w:rPr>
            </w:pPr>
          </w:p>
        </w:tc>
        <w:tc>
          <w:tcPr>
            <w:tcW w:w="700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80" w:type="dxa"/>
            <w:vAlign w:val="bottom"/>
          </w:tcPr>
          <w:p>
            <w:pPr>
              <w:spacing w:after="0"/>
              <w:rPr>
                <w:sz w:val="24"/>
                <w:szCs w:val="24"/>
                <w:color w:val="auto"/>
              </w:rPr>
            </w:pPr>
          </w:p>
        </w:tc>
      </w:tr>
      <w:tr>
        <w:trPr>
          <w:trHeight w:val="496"/>
        </w:trPr>
        <w:tc>
          <w:tcPr>
            <w:tcW w:w="42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Ordinary Shares offered by the selling securityholders</w:t>
            </w: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31,787,634 ordinary shares, consisting of (i) 15,893,817 issued and outstanding</w:t>
            </w:r>
          </w:p>
        </w:tc>
        <w:tc>
          <w:tcPr>
            <w:tcW w:w="80" w:type="dxa"/>
            <w:vAlign w:val="bottom"/>
          </w:tcPr>
          <w:p>
            <w:pPr>
              <w:spacing w:after="0"/>
              <w:rPr>
                <w:sz w:val="24"/>
                <w:szCs w:val="24"/>
                <w:color w:val="auto"/>
              </w:rPr>
            </w:pPr>
          </w:p>
        </w:tc>
      </w:tr>
      <w:tr>
        <w:trPr>
          <w:trHeight w:val="170"/>
        </w:trPr>
        <w:tc>
          <w:tcPr>
            <w:tcW w:w="4200" w:type="dxa"/>
            <w:vAlign w:val="bottom"/>
            <w:tcBorders>
              <w:left w:val="single" w:sz="8" w:color="auto"/>
            </w:tcBorders>
          </w:tcPr>
          <w:p>
            <w:pPr>
              <w:spacing w:after="0"/>
              <w:rPr>
                <w:sz w:val="14"/>
                <w:szCs w:val="14"/>
                <w:color w:val="auto"/>
              </w:rPr>
            </w:pP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ordinary shares and (ii) 15,893,817 ABSA Warrant Shares issuable upon the exercise</w:t>
            </w:r>
          </w:p>
        </w:tc>
        <w:tc>
          <w:tcPr>
            <w:tcW w:w="80" w:type="dxa"/>
            <w:vAlign w:val="bottom"/>
          </w:tcPr>
          <w:p>
            <w:pPr>
              <w:spacing w:after="0"/>
              <w:rPr>
                <w:sz w:val="14"/>
                <w:szCs w:val="14"/>
                <w:color w:val="auto"/>
              </w:rPr>
            </w:pPr>
          </w:p>
        </w:tc>
      </w:tr>
      <w:tr>
        <w:trPr>
          <w:trHeight w:val="184"/>
        </w:trPr>
        <w:tc>
          <w:tcPr>
            <w:tcW w:w="4200" w:type="dxa"/>
            <w:vAlign w:val="bottom"/>
            <w:tcBorders>
              <w:left w:val="single" w:sz="8" w:color="auto"/>
            </w:tcBorders>
          </w:tcPr>
          <w:p>
            <w:pPr>
              <w:spacing w:after="0"/>
              <w:rPr>
                <w:sz w:val="16"/>
                <w:szCs w:val="16"/>
                <w:color w:val="auto"/>
              </w:rPr>
            </w:pP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of the ABSA Warrants.</w:t>
            </w:r>
          </w:p>
        </w:tc>
        <w:tc>
          <w:tcPr>
            <w:tcW w:w="80" w:type="dxa"/>
            <w:vAlign w:val="bottom"/>
          </w:tcPr>
          <w:p>
            <w:pPr>
              <w:spacing w:after="0"/>
              <w:rPr>
                <w:sz w:val="16"/>
                <w:szCs w:val="16"/>
                <w:color w:val="auto"/>
              </w:rPr>
            </w:pPr>
          </w:p>
        </w:tc>
      </w:tr>
      <w:tr>
        <w:trPr>
          <w:trHeight w:val="326"/>
        </w:trPr>
        <w:tc>
          <w:tcPr>
            <w:tcW w:w="42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Use of proceeds</w:t>
            </w: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We will not receive any proceeds from the sale of the Resale Shares by the selling</w:t>
            </w:r>
          </w:p>
        </w:tc>
        <w:tc>
          <w:tcPr>
            <w:tcW w:w="80" w:type="dxa"/>
            <w:vAlign w:val="bottom"/>
          </w:tcPr>
          <w:p>
            <w:pPr>
              <w:spacing w:after="0"/>
              <w:rPr>
                <w:sz w:val="24"/>
                <w:szCs w:val="24"/>
                <w:color w:val="auto"/>
              </w:rPr>
            </w:pPr>
          </w:p>
        </w:tc>
      </w:tr>
      <w:tr>
        <w:trPr>
          <w:trHeight w:val="170"/>
        </w:trPr>
        <w:tc>
          <w:tcPr>
            <w:tcW w:w="4200" w:type="dxa"/>
            <w:vAlign w:val="bottom"/>
            <w:tcBorders>
              <w:left w:val="single" w:sz="8" w:color="auto"/>
            </w:tcBorders>
          </w:tcPr>
          <w:p>
            <w:pPr>
              <w:spacing w:after="0"/>
              <w:rPr>
                <w:sz w:val="14"/>
                <w:szCs w:val="14"/>
                <w:color w:val="auto"/>
              </w:rPr>
            </w:pP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securityholders, except with respect to amounts received by us due to the exercise of</w:t>
            </w:r>
          </w:p>
        </w:tc>
        <w:tc>
          <w:tcPr>
            <w:tcW w:w="80" w:type="dxa"/>
            <w:vAlign w:val="bottom"/>
          </w:tcPr>
          <w:p>
            <w:pPr>
              <w:spacing w:after="0"/>
              <w:rPr>
                <w:sz w:val="14"/>
                <w:szCs w:val="14"/>
                <w:color w:val="auto"/>
              </w:rPr>
            </w:pPr>
          </w:p>
        </w:tc>
      </w:tr>
      <w:tr>
        <w:trPr>
          <w:trHeight w:val="170"/>
        </w:trPr>
        <w:tc>
          <w:tcPr>
            <w:tcW w:w="4200" w:type="dxa"/>
            <w:vAlign w:val="bottom"/>
            <w:tcBorders>
              <w:left w:val="single" w:sz="8" w:color="auto"/>
            </w:tcBorders>
          </w:tcPr>
          <w:p>
            <w:pPr>
              <w:spacing w:after="0"/>
              <w:rPr>
                <w:sz w:val="14"/>
                <w:szCs w:val="14"/>
                <w:color w:val="auto"/>
              </w:rPr>
            </w:pP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any ABSA Warrants for cash. We may receive cash proceeds of up to €47 million</w:t>
            </w:r>
          </w:p>
        </w:tc>
        <w:tc>
          <w:tcPr>
            <w:tcW w:w="80" w:type="dxa"/>
            <w:vAlign w:val="bottom"/>
          </w:tcPr>
          <w:p>
            <w:pPr>
              <w:spacing w:after="0"/>
              <w:rPr>
                <w:sz w:val="14"/>
                <w:szCs w:val="14"/>
                <w:color w:val="auto"/>
              </w:rPr>
            </w:pPr>
          </w:p>
        </w:tc>
      </w:tr>
      <w:tr>
        <w:trPr>
          <w:trHeight w:val="184"/>
        </w:trPr>
        <w:tc>
          <w:tcPr>
            <w:tcW w:w="4200" w:type="dxa"/>
            <w:vAlign w:val="bottom"/>
            <w:tcBorders>
              <w:left w:val="single" w:sz="8" w:color="auto"/>
            </w:tcBorders>
          </w:tcPr>
          <w:p>
            <w:pPr>
              <w:spacing w:after="0"/>
              <w:rPr>
                <w:sz w:val="16"/>
                <w:szCs w:val="16"/>
                <w:color w:val="auto"/>
              </w:rPr>
            </w:pP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from the exercise of the ABSA Warrants.</w:t>
            </w:r>
          </w:p>
        </w:tc>
        <w:tc>
          <w:tcPr>
            <w:tcW w:w="80" w:type="dxa"/>
            <w:vAlign w:val="bottom"/>
          </w:tcPr>
          <w:p>
            <w:pPr>
              <w:spacing w:after="0"/>
              <w:rPr>
                <w:sz w:val="16"/>
                <w:szCs w:val="16"/>
                <w:color w:val="auto"/>
              </w:rPr>
            </w:pPr>
          </w:p>
        </w:tc>
      </w:tr>
      <w:tr>
        <w:trPr>
          <w:trHeight w:val="262"/>
        </w:trPr>
        <w:tc>
          <w:tcPr>
            <w:tcW w:w="42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Plan of Distribution</w:t>
            </w: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The selling securityholders will determine when and how they will sell the Resale</w:t>
            </w:r>
          </w:p>
        </w:tc>
        <w:tc>
          <w:tcPr>
            <w:tcW w:w="80" w:type="dxa"/>
            <w:vAlign w:val="bottom"/>
          </w:tcPr>
          <w:p>
            <w:pPr>
              <w:spacing w:after="0"/>
              <w:rPr>
                <w:sz w:val="22"/>
                <w:szCs w:val="22"/>
                <w:color w:val="auto"/>
              </w:rPr>
            </w:pPr>
          </w:p>
        </w:tc>
      </w:tr>
      <w:tr>
        <w:trPr>
          <w:trHeight w:val="184"/>
        </w:trPr>
        <w:tc>
          <w:tcPr>
            <w:tcW w:w="4200" w:type="dxa"/>
            <w:vAlign w:val="bottom"/>
            <w:tcBorders>
              <w:left w:val="single" w:sz="8" w:color="auto"/>
            </w:tcBorders>
          </w:tcPr>
          <w:p>
            <w:pPr>
              <w:spacing w:after="0"/>
              <w:rPr>
                <w:sz w:val="16"/>
                <w:szCs w:val="16"/>
                <w:color w:val="auto"/>
              </w:rPr>
            </w:pP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Shares offered in this prospectus, as described in “Plan of Distribution.”</w:t>
            </w:r>
          </w:p>
        </w:tc>
        <w:tc>
          <w:tcPr>
            <w:tcW w:w="80" w:type="dxa"/>
            <w:vAlign w:val="bottom"/>
          </w:tcPr>
          <w:p>
            <w:pPr>
              <w:spacing w:after="0"/>
              <w:rPr>
                <w:sz w:val="16"/>
                <w:szCs w:val="16"/>
                <w:color w:val="auto"/>
              </w:rPr>
            </w:pPr>
          </w:p>
        </w:tc>
      </w:tr>
      <w:tr>
        <w:trPr>
          <w:trHeight w:val="262"/>
        </w:trPr>
        <w:tc>
          <w:tcPr>
            <w:tcW w:w="42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Risk factors</w:t>
            </w: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See “Risk Factors” beginning on page 6 and the other information included in this</w:t>
            </w:r>
          </w:p>
        </w:tc>
        <w:tc>
          <w:tcPr>
            <w:tcW w:w="80" w:type="dxa"/>
            <w:vAlign w:val="bottom"/>
          </w:tcPr>
          <w:p>
            <w:pPr>
              <w:spacing w:after="0"/>
              <w:rPr>
                <w:sz w:val="22"/>
                <w:szCs w:val="22"/>
                <w:color w:val="auto"/>
              </w:rPr>
            </w:pPr>
          </w:p>
        </w:tc>
      </w:tr>
      <w:tr>
        <w:trPr>
          <w:trHeight w:val="170"/>
        </w:trPr>
        <w:tc>
          <w:tcPr>
            <w:tcW w:w="4200" w:type="dxa"/>
            <w:vAlign w:val="bottom"/>
            <w:tcBorders>
              <w:left w:val="single" w:sz="8" w:color="auto"/>
            </w:tcBorders>
          </w:tcPr>
          <w:p>
            <w:pPr>
              <w:spacing w:after="0"/>
              <w:rPr>
                <w:sz w:val="14"/>
                <w:szCs w:val="14"/>
                <w:color w:val="auto"/>
              </w:rPr>
            </w:pP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 xml:space="preserve">prospectus </w:t>
            </w:r>
            <w:r>
              <w:rPr>
                <w:rFonts w:ascii="Times New Roman" w:cs="Times New Roman" w:eastAsia="Times New Roman" w:hAnsi="Times New Roman"/>
                <w:sz w:val="14"/>
                <w:szCs w:val="14"/>
                <w:color w:val="auto"/>
                <w:highlight w:val="white"/>
              </w:rPr>
              <w:t>and incorporated by reference</w:t>
            </w:r>
            <w:r>
              <w:rPr>
                <w:rFonts w:ascii="Times New Roman" w:cs="Times New Roman" w:eastAsia="Times New Roman" w:hAnsi="Times New Roman"/>
                <w:sz w:val="14"/>
                <w:szCs w:val="14"/>
                <w:color w:val="auto"/>
              </w:rPr>
              <w:t xml:space="preserve"> for a discussion of factors you should</w:t>
            </w:r>
          </w:p>
        </w:tc>
        <w:tc>
          <w:tcPr>
            <w:tcW w:w="80" w:type="dxa"/>
            <w:vAlign w:val="bottom"/>
          </w:tcPr>
          <w:p>
            <w:pPr>
              <w:spacing w:after="0"/>
              <w:rPr>
                <w:sz w:val="14"/>
                <w:szCs w:val="14"/>
                <w:color w:val="auto"/>
              </w:rPr>
            </w:pPr>
          </w:p>
        </w:tc>
      </w:tr>
      <w:tr>
        <w:trPr>
          <w:trHeight w:val="184"/>
        </w:trPr>
        <w:tc>
          <w:tcPr>
            <w:tcW w:w="4200" w:type="dxa"/>
            <w:vAlign w:val="bottom"/>
            <w:tcBorders>
              <w:left w:val="single" w:sz="8" w:color="auto"/>
            </w:tcBorders>
          </w:tcPr>
          <w:p>
            <w:pPr>
              <w:spacing w:after="0"/>
              <w:rPr>
                <w:sz w:val="16"/>
                <w:szCs w:val="16"/>
                <w:color w:val="auto"/>
              </w:rPr>
            </w:pP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carefully consider before deciding to invest in our common shares.</w:t>
            </w:r>
          </w:p>
        </w:tc>
        <w:tc>
          <w:tcPr>
            <w:tcW w:w="80" w:type="dxa"/>
            <w:vAlign w:val="bottom"/>
          </w:tcPr>
          <w:p>
            <w:pPr>
              <w:spacing w:after="0"/>
              <w:rPr>
                <w:sz w:val="16"/>
                <w:szCs w:val="16"/>
                <w:color w:val="auto"/>
              </w:rPr>
            </w:pPr>
          </w:p>
        </w:tc>
      </w:tr>
      <w:tr>
        <w:trPr>
          <w:trHeight w:val="340"/>
        </w:trPr>
        <w:tc>
          <w:tcPr>
            <w:tcW w:w="42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Nasdaq Global Market symbol for ADS</w:t>
            </w: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“VALN”</w:t>
            </w:r>
          </w:p>
        </w:tc>
        <w:tc>
          <w:tcPr>
            <w:tcW w:w="80" w:type="dxa"/>
            <w:vAlign w:val="bottom"/>
          </w:tcPr>
          <w:p>
            <w:pPr>
              <w:spacing w:after="0"/>
              <w:rPr>
                <w:sz w:val="24"/>
                <w:szCs w:val="24"/>
                <w:color w:val="auto"/>
              </w:rPr>
            </w:pPr>
          </w:p>
        </w:tc>
      </w:tr>
      <w:tr>
        <w:trPr>
          <w:trHeight w:val="340"/>
        </w:trPr>
        <w:tc>
          <w:tcPr>
            <w:tcW w:w="42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Euronext Paris symbol for ordinary shares</w:t>
            </w:r>
          </w:p>
        </w:tc>
        <w:tc>
          <w:tcPr>
            <w:tcW w:w="700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“VAL”</w:t>
            </w:r>
          </w:p>
        </w:tc>
        <w:tc>
          <w:tcPr>
            <w:tcW w:w="80" w:type="dxa"/>
            <w:vAlign w:val="bottom"/>
          </w:tcPr>
          <w:p>
            <w:pPr>
              <w:spacing w:after="0"/>
              <w:rPr>
                <w:sz w:val="24"/>
                <w:szCs w:val="24"/>
                <w:color w:val="auto"/>
              </w:rPr>
            </w:pPr>
          </w:p>
        </w:tc>
      </w:tr>
      <w:tr>
        <w:trPr>
          <w:trHeight w:val="304"/>
        </w:trPr>
        <w:tc>
          <w:tcPr>
            <w:tcW w:w="4200" w:type="dxa"/>
            <w:vAlign w:val="bottom"/>
            <w:tcBorders>
              <w:left w:val="single" w:sz="8" w:color="auto"/>
              <w:bottom w:val="single" w:sz="8" w:color="auto"/>
            </w:tcBorders>
          </w:tcPr>
          <w:p>
            <w:pPr>
              <w:spacing w:after="0"/>
              <w:rPr>
                <w:sz w:val="24"/>
                <w:szCs w:val="24"/>
                <w:color w:val="auto"/>
              </w:rPr>
            </w:pPr>
          </w:p>
        </w:tc>
        <w:tc>
          <w:tcPr>
            <w:tcW w:w="700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420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2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You should carefully review the risks and uncertainties described below and under the heading “Risk Factors” in our Annual Report on Form 20-F for the year ended December 31, 2025 as updated by our subsequent filings including our Reports on Form 6-K, which are incorporated by reference into this prospectus, before deciding whether to purchase any of the securities being registered pursuant to the registration statement of which this prospectus is a part. The risk factors included in our Annual Report include a discussion of specific risks related to an investment in, and ownership of, ADSs under the caption “- Risks related to Ownership of Our Ordinary Shares and ADSs.”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w:t>
      </w:r>
    </w:p>
    <w:p>
      <w:pPr>
        <w:spacing w:after="0" w:line="14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substantial number of our securities may be sold in the market following the effective date of the registration statement of which this prospectus forms a part, which may depress the market price for our ADSs.</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Sales of a substantial number of our securities in the public market following the effective date of the registration statement of which this prospectus forms a part could cause the market price of our common stock to decline.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3"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contain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Discussions containing these forward-looking statements may be found, among other places, in the sections titled “Information on the Company,” “Risk Factors” and “Operating and Financial Review and Prospects” incorporated by reference from our most recent Annual Report on Form 20-F and our interim financial reports furnished on Form 6-K with the SEC.</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statements other than present and historical facts and conditions contained in this prospectus, including statements regarding our future results of operations and financial positions, business strategy, plans and our objectives for future operations, are forward-looking statements. When used in this prospectus, the words “anticipate,” “believe,” “can,” “could,” “estimate,” “expect,” “intend,” “is designed to,” “may,” “might,” “plan,” “potential,” “predict,” “objective,” “should,” or the negative of these and similar expressions identify forward-looking statements. Forward-looking statements include, but are not limited to, statements about:</w:t>
      </w:r>
    </w:p>
    <w:p>
      <w:pPr>
        <w:spacing w:after="0" w:line="141" w:lineRule="exact"/>
        <w:rPr>
          <w:sz w:val="20"/>
          <w:szCs w:val="20"/>
          <w:color w:val="auto"/>
        </w:rPr>
      </w:pPr>
    </w:p>
    <w:p>
      <w:pPr>
        <w:ind w:left="520" w:hanging="260"/>
        <w:spacing w:after="0" w:line="28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and expected outcomes of clinical trials and pre-clinical studies, particularly with respect to the ongoing and planned clinical trials of our chikungunya vaccine VLA1553 (licensed in some territories as IXCHIQ), and the ongoing Phase 2 trials of the shigellosis vaccine candidate S4V2;</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timing, and expected outcomes of regulatory filings and approvals, including, in the short-term, potential approval of the chikungunya vaccine candidate VLA1553 or locally manufactured versions thereof in other markets and the potential filings and approvals of VLA15 and in the mid- to long-term, potential filings and approvals of S4V2;</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safety and effectiveness of our vaccine candidates in development and new safety data related to our approved vaccines, particularly IXCHIQ;</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market IXCHIQ in Europe, Canada, the UK, and other markets where it is or may be approved and to establish partnerships for the manufacturing, marketing, and distribution of IXCHIQ in endemic or high-risk areas, particularly in Asia;</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with respect to Pfizer’s regulatory and commercialization plans for our Lyme disease candidate;</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effective restructuring and cost-savings measures and maintain business continuity in case of unfavorable developments related to our vaccine candidates or existing products;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and forecasts for sales of our approved commercial products and estimates of market opportunity and future revenues for our vaccine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develop, and advance our pipeline of product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supply a sufficient, compliant, and timely quantity of our products and product candidates and to safely and effectively scale up our manufacturing capabilities;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and profitability of our collaborations and partnerships, our ability to maintain our current collaborations and partnerships and our ability to enter into new collaborations and partnerships, to support our business plans;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3" w:right="319" w:bottom="1440" w:gutter="0" w:footer="0" w:header="0"/>
        </w:sectPr>
      </w:pPr>
    </w:p>
    <w:bookmarkStart w:id="12" w:name="page13"/>
    <w:bookmarkEnd w:id="12"/>
    <w:p>
      <w:pPr>
        <w:ind w:left="520" w:hanging="260"/>
        <w:spacing w:after="0" w:line="287"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and political developments in the United States, Europe, and other countries, including in particular regulatory developments relating to tariffs and the review and approval of vaccine candidates in the United States and elsewhere;</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related to future milestone and royalty payments and other revenue under our collaborations and partnerships, particularly the partnership with Pfizer for VLA15;</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our obligations under our various collaboration, partnership, and distribution arrangements;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any pandemics on our sales and operations, including our expectations and assumptions regarding the resumption of travel and the future demand for travel vaccines;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competition as well as innovations by new and existing competitors in our industry;</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 and proprietary technologies and to operate our business without infringing the intellectual property rights and proprietary technology of third parties;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statements regarding future revenue, cash situation, hiring plans, expenses, capital expenditures, capital requirements, stock performance, and financing opportunities;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in this prospectus under the caption “Risk Factors”.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You should refer to the “Risk Factors” included in this prospectus, any applicable prospectus supplement and any free-writing prospectus, and under similar headings in the other documents incorporated herein,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You should read this prospectus, any applicable prospectus supplement, any free writing prospectuses that we may authorize for use in connection with an offering and the documents that we reference in this prospectus and have filed as exhibits to the registration statement of which this prospectus is a part completely and with the understanding that our actual future results may be materially different from what we expect.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13" w:name="page14"/>
    <w:bookmarkEnd w:id="13"/>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will not receive any of the proceeds from the sale of Resale Shares in this offering, except with respect to amounts received by us due to the exercise of any ABSA Warrants for cash. We could potentially receive up to €47 million in proceeds from the exercise of the ABSA Warrants, as described herein, assuming the exercise in full of all of such ABSA Warrants for cash. There is no assurance that the holders of the ABSA Warrants will elect to exercise any or all of such ABSA Warrants. The selling securityholders will receive all of the proceeds from the sale of Resale Shares hereunder.</w:t>
      </w:r>
    </w:p>
    <w:p>
      <w:pPr>
        <w:spacing w:after="0" w:line="14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currently intend to use the net proceeds from the exercise of any ABSA Warrants for cash, if any, to fund manufacturing, commercialization, and research and development of our products and product candidates, for working capital and for general corporate purposes.</w:t>
      </w:r>
    </w:p>
    <w:p>
      <w:pPr>
        <w:spacing w:after="0" w:line="2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080"/>
          </w:cols>
          <w:pgMar w:left="300" w:top="633" w:right="5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selling securityholders of the Resale Shares and any of their donees, pledgees, transferees or other successors-in-interest selling the Resale Shares received after the date of this prospectus from a selling securityholder as a gift, pledge, partnership distribution or other transfer, may, from time to time, sell, transfer or otherwise dispose of any or all of their Resale Shares covered hereby on any stock exchange, market or trading facility on which the Resale Shares are traded or in private transactions. These dispositions may be at fixed prices, at prevailing market prices at the time of sale, at prices related to the prevailing market prices, at varying prices determined at the time of sale, or at negotiated prices.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selling securityholders may use any one or more of the following methods when disposing of their securities or interests therein:</w:t>
      </w:r>
    </w:p>
    <w:p>
      <w:pPr>
        <w:spacing w:after="0" w:line="179"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members, partners, stockholders or other securityholders of the selling securityholders;</w:t>
      </w:r>
    </w:p>
    <w:p>
      <w:pPr>
        <w:spacing w:after="0" w:line="20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20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ordinary shares or ADSs as agent, but may position and resell a portion of the block as principal to facilitate the transaction;</w:t>
      </w:r>
    </w:p>
    <w:p>
      <w:pPr>
        <w:spacing w:after="0" w:line="20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accounts;</w:t>
      </w:r>
    </w:p>
    <w:p>
      <w:pPr>
        <w:spacing w:after="0" w:line="20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20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20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and settlement of short sales entered into after the effective date of the registration statement of which this prospectus is a part;</w:t>
      </w:r>
    </w:p>
    <w:p>
      <w:pPr>
        <w:spacing w:after="0" w:line="20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20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 dealers who may agree with the selling securityholders to sell a specified number of such securities at a stipulated price per ordinary share or ADSs;</w:t>
      </w:r>
    </w:p>
    <w:p>
      <w:pPr>
        <w:spacing w:after="0" w:line="20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20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selling securityholders may, from time to time, pledge or grant a security interest in some or all of the Resale Securities owned by them and, if a selling securityholder defaults in the performance of its secured obligations, the pledgees or secured parties may offer and sell the Resale Securities, from time to time, under this prospectus, or under an amendment to this prospectus under Rule 424(b)(3) or other applicable provision of the Securities Ace, amending the list of the selling securityholders under this prospectus. The selling securityholders also may transfer the Resale Securities in other circumstances, in which case the transferees, pledgees, or other successors in interest will be the selling securityholders for purposes of this prospectus.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connection with the sale of the Resale Securities or interests therein, the selling securityholders may enter into hedging transactions with broker-dealers or other financial institutions, which may in turn engage in short sales of the Resale Securities in the course of hedging the positions they assume. The selling securityholders may also sell the Resale Securities short and deliver these securities to close out their short positions, or loan or pledge the Resale Securities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or the creation of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3" w:right="319" w:bottom="1440" w:gutter="0" w:footer="0" w:header="0"/>
        </w:sectPr>
      </w:pPr>
    </w:p>
    <w:bookmarkStart w:id="15" w:name="page16"/>
    <w:bookmarkEnd w:id="15"/>
    <w:p>
      <w:pPr>
        <w:jc w:val="both"/>
        <w:spacing w:after="0" w:line="264" w:lineRule="auto"/>
        <w:rPr>
          <w:sz w:val="20"/>
          <w:szCs w:val="20"/>
          <w:color w:val="auto"/>
        </w:rPr>
      </w:pPr>
      <w:r>
        <w:rPr>
          <w:rFonts w:ascii="Times New Roman" w:cs="Times New Roman" w:eastAsia="Times New Roman" w:hAnsi="Times New Roman"/>
          <w:sz w:val="14"/>
          <w:szCs w:val="14"/>
          <w:color w:val="auto"/>
        </w:rPr>
        <w:t>The aggregate proceeds to the selling securityholders from the sale of Resale Securities offered by them will be the purchase price of the Resale Securities, less discounts or commissions, if any. Each of the selling securityholders reserves the right to accept and, together with their agents from time to time, to reject, in whole or in part, any proposed purchase of Resale Securities to be made directly or through agents. We will not receive any of the proceeds from any offering by the selling securityholders. Upon any exercise of the Warrants by payment of cash, however, we will receive the exercise price of the Warrants.</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selling securityholders also may resell a portion of the Resale Securities in open-market transactions in reliance upon Rule 144 under the Securities Act, provided that they meet the criteria and conform to the requirements of that rule, or another available exemption from the registration requirement sunder the Securities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selling securityholders and any underwriters, broker-dealers or agents that participate in sale of the Resale Securities or interests therein may be “underwriters” within the meaning of Section 2(a)</w:t>
      </w:r>
    </w:p>
    <w:p>
      <w:pPr>
        <w:spacing w:after="0" w:line="23" w:lineRule="exact"/>
        <w:rPr>
          <w:sz w:val="20"/>
          <w:szCs w:val="20"/>
          <w:color w:val="auto"/>
        </w:rPr>
      </w:pPr>
    </w:p>
    <w:p>
      <w:pPr>
        <w:jc w:val="both"/>
        <w:ind w:firstLine="5"/>
        <w:spacing w:after="0" w:line="259" w:lineRule="auto"/>
        <w:tabs>
          <w:tab w:leader="none" w:pos="28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Securities Act (it being understood that the selling securityholders shall not be deemed to be underwriters solely as a result of their participation in this offering). Any discounts, commissions, concessions, or profit they earn on any resale of the Resale Securities may be underwriting discounts and commissions under the Securities Act. Selling securityholders who are “underwriters” within the meaning of Section 2(a)(11) of the Securities Act will be subject to the prospectus delivery requirements of the Securities Act.</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the extent required, the number of Resale Securities to be sold, the names of the selling securityholders,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order to comply with the securities laws of some states, if applicable, the Resale Securities may be sold in these jurisdictions only through registered or licensed brokers or dealers. In addition, in some states the Resale Securities may not be sold unless such securities have been registered or qualified for sale or an exemption from registration or qualification requirements is available and is complied with.</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advised the selling securityholders that the anti-manipulation rules of Regulation M under the Exchange Act may apply to sales of Resale Securities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Resale Securities against certain liabilities, including liabilities arising under the Securities Act</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agreed to indemnify the selling securityholders against liabilities, including liabilities under the Securities Act and state securities laws, relating to the registration of the Resale Securities offered by this prospectus.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agreed with the selling securityholders to use commercially reasonable efforts to cause the registration statement of which this prospectus constitutes a part to become effective and to remain continuously effective until the earlier of: (i) the date on which the selling securityholders shall have resold or otherwise disposed of all the Resale Securities covered by this prospectus and (ii) the date on which the Resale Securities covered by this prospectus no longer constitute “Registrable Securities” as such term is defined in the Registration Rights Agreement, such that they may be resold by the selling securityholders without registration and without regard to any volume or manner-of-sale limitations and without current public information pursuant to Rule 144 under the Securities Act or any other rule of similar effect.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SHARE CAPITAL AND ARTICLES OF ASSOCIATION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information regarding our share capital and articles of association, please refer to the full text of our articles of association and the description of securities filed as Exhibits 1.1 and 2.3, respectively, to our Annual Report on Form 20-F for the fiscal year ended December 31, 2025, filed with the SEC on March 17, 2026, as well as any amendments thereto reflected in our subsequent filings with the SEC, all of which are incorporated by reference herein.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AMERICAN DEPOSITARY SHARES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information regarding our American Depositary Shares, please refer to the information under the heading “American Depositary Shares” in our description of securities filed as Exhibit 2.3 to our Annual Report on Form 20-F for the fiscal year ended December 31, 2025, filed with the SEC on March 17, 2026, as well as any amendments thereto reflected in our subsequent filings with the SEC, all of which are incorporated by reference herein.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3"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prepared this prospectus to allow the selling securityholders to offer and sell from time to time for their own account up to 31,787,634 Resale Shares, which may be in the form of ADSs, consisting of (i) up to 15,893,817 issued and outstanding ordinary shares and (ii) up to 15,893,817 ABSA Warrant Shares issuable upon the exercise of the ABSA Warrants.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registering the offer and sale of the Resale Shares beneficially owned by the selling securityholders to satisfy our obligations to them pursuant to a registration rights agreement dated April 29, 2026 (the “Registration Rights Agreement”) by and among the Company and the selling securityholders. Pursuant to the Registration Rights Agreement, we have agreed to prepare and file a registration statement with the SEC within 30 days following the Closing Date (as defined in the Securities Purchase Agreement). We have also agreed to use our reasonable best efforts to keep the registration statement continuously effective pursuant to Rule 415 and available for the resale by the selling securityholders until the earlier to occur of: (i) the date on which the selling securityholders have resold all of the Registrable Securities (as defined in the Registration Rights Agreement) , and (ii) the date on which all of the Registrable Securities may be resold by the selling securityholders without registration and without regard to any volume or manner-of-sale limitations by reason of Rule 144, without the requirement for the Company to be in compliance with the current public information requirement under Rule 144.</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our knowledge, none of the selling securityholders has, or during the three years prior to the date of this prospectus has had, any position, office or other material relationships with us or any of our affiliates, except that we and each selling securityholders are party to the Registration Rights Agreement relating to the Resale Shares described above. To our knowledge, based on information provided to us, none of the selling securityholders that are affiliates of broker-dealers purchased the Resale Shares outside the ordinary course of business, nor at the time of the acquisition did any selling securityholder have direct or indirect agreements or understandings with any person to distribute any ordinary shares, including the Resale Shares.</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information set forth in the table below is based upon information obtained from the selling securityholders. Beneficial ownership of the selling securityholders is determined in accordance with Rule 13d-3(d) under the Exchange Act. The percentage of shares beneficially owned prior to the offering is based on 189,771,237 ordinary shares outstanding as of May 31, 2026, after giving effect to the issuance of 15,893,817 ordinary shares issued on May 5, 2026 pursuant to the Securities Purchase Agreement, but excluding 15,893,817 ABSA Warrant Shares. The percentage of shares beneficially owned after the offering assumes the sale of all Resale Shares offered by the selling securityholders, including all ABSA Warrant Shares, pursuant to this prospectus and no further acquisitions of our securities by the selling securityholders. In computing the number of ordinary shares beneficially owned by a selling securityholder and the percentage ownership of such selling securityholder, we deemed outstanding ordinary shares issuable upon exercise of the ABSA Warrants, as applicable, held by that selling securityholder that are exercisable within 60 days of May 31, 2026. We did not deem these ordinary shares outstanding, however, for the purpose of computing the percentage ownership of any other selling securityholder.</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number of ordinary shares set forth in the following table for any selling shareholder reflects the exercise limitations as set forth in the ABSA Warrants. The ABSA Warrants provide that the holder of ABSA Warrants will not have the right to exercise any portion of its ABSA Warrants if such holder, together with its affiliates, would beneficially own in excess of 9.99% of the number of ordinary shares outstanding immediately after giving effect to such exercise (the “Beneficial Ownership Limitation”). The holder may increase or decrease the Beneficial Ownership Limitation, provided, however, that the holder may only increase the Beneficial Ownership Limitation (i) by obtaining authorization from the French Ministry of Economy in the event the Beneficial Ownership Limitation is being raised above 9.99%, (ii) by providing 61 days’ notice to the Company, except that in no event will the Beneficial Ownership Limitation exceed (i) with respect to the limitations under Section 13(d) of the Exchange Act, 19.99% of our ordinary shares and (ii) with respect to the French regime for control of foreign direct investments, 24.99% of the voting rights. Accordingly, the number of ordinary shares set forth in the following table for any shareholder may exceed the number of ordinary shares that it could own beneficially at any given time as a result of its ownership of ABSA Warrant Shares. As a result, the actual number of ABSA Warrant Shares that may be issued to and sold by the selling securityholders could be materially less than the estimated numbers in the column titled “Number of Shares Being Offered” depending on factors which cannot be predicted by us at this time. In addition, we do not know how long the selling securityholders will hold the Resale Shares before selling them, and we currently have no agreements, arrangements or understandings with the selling securityholders regarding the sale or other disposition of any Resale Shares.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3" w:right="319" w:bottom="1440" w:gutter="0" w:footer="0" w:header="0"/>
        </w:sectPr>
      </w:pPr>
    </w:p>
    <w:bookmarkStart w:id="18" w:name="page19"/>
    <w:bookmarkEnd w:id="18"/>
    <w:p>
      <w:pPr>
        <w:jc w:val="both"/>
        <w:spacing w:after="0" w:line="270" w:lineRule="auto"/>
        <w:rPr>
          <w:sz w:val="20"/>
          <w:szCs w:val="20"/>
          <w:color w:val="auto"/>
        </w:rPr>
      </w:pPr>
      <w:r>
        <w:rPr>
          <w:rFonts w:ascii="Times New Roman" w:cs="Times New Roman" w:eastAsia="Times New Roman" w:hAnsi="Times New Roman"/>
          <w:sz w:val="14"/>
          <w:szCs w:val="14"/>
          <w:color w:val="auto"/>
        </w:rPr>
        <w:t>As used in this prospectus, the term “selling securityholders” includes the selling securityholders listed in the table below, together with any additional selling securityholders listed in a prospectus supplement, and their donees, pledgees, assignees, transferees, distributees and successors-in-interest that receive Resale Shares in any non-sale transfer after the date of this prospectus. Unless otherwise indicated, the address for each selling securityholder is c/o Valneva SE, Îlot Saint Joseph Bureaux Convergence, 12T Quai Perrache, 69002 Lyon, France.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shd w:val="clear" w:color="auto" w:fill="BDD6EE"/>
          </w:tcPr>
          <w:p>
            <w:pPr>
              <w:spacing w:after="0"/>
              <w:rPr>
                <w:sz w:val="13"/>
                <w:szCs w:val="13"/>
                <w:color w:val="auto"/>
              </w:rPr>
            </w:pPr>
          </w:p>
        </w:tc>
        <w:tc>
          <w:tcPr>
            <w:tcW w:w="1800" w:type="dxa"/>
            <w:vAlign w:val="bottom"/>
            <w:shd w:val="clear" w:color="auto" w:fill="BDD6EE"/>
          </w:tcPr>
          <w:p>
            <w:pPr>
              <w:ind w:lef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0" w:type="dxa"/>
            <w:vAlign w:val="bottom"/>
            <w:shd w:val="clear" w:color="auto" w:fill="BDD6EE"/>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300" w:type="dxa"/>
            <w:vAlign w:val="bottom"/>
            <w:shd w:val="clear" w:color="auto" w:fill="BDD6EE"/>
          </w:tcPr>
          <w:p>
            <w:pPr>
              <w:spacing w:after="0"/>
              <w:rPr>
                <w:sz w:val="13"/>
                <w:szCs w:val="13"/>
                <w:color w:val="auto"/>
              </w:rPr>
            </w:pPr>
          </w:p>
        </w:tc>
        <w:tc>
          <w:tcPr>
            <w:tcW w:w="1540" w:type="dxa"/>
            <w:vAlign w:val="bottom"/>
            <w:shd w:val="clear" w:color="auto" w:fill="BDD6EE"/>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0"/>
        </w:trPr>
        <w:tc>
          <w:tcPr>
            <w:tcW w:w="3480" w:type="dxa"/>
            <w:vAlign w:val="bottom"/>
            <w:shd w:val="clear" w:color="auto" w:fill="BDD6EE"/>
          </w:tcPr>
          <w:p>
            <w:pPr>
              <w:spacing w:after="0"/>
              <w:rPr>
                <w:sz w:val="14"/>
                <w:szCs w:val="14"/>
                <w:color w:val="auto"/>
              </w:rPr>
            </w:pPr>
          </w:p>
        </w:tc>
        <w:tc>
          <w:tcPr>
            <w:tcW w:w="1800" w:type="dxa"/>
            <w:vAlign w:val="bottom"/>
            <w:shd w:val="clear" w:color="auto" w:fill="BDD6EE"/>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0" w:type="dxa"/>
            <w:vAlign w:val="bottom"/>
            <w:shd w:val="clear" w:color="auto" w:fill="BDD6EE"/>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shd w:val="clear" w:color="auto" w:fill="BDD6EE"/>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6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70"/>
        </w:trPr>
        <w:tc>
          <w:tcPr>
            <w:tcW w:w="3480" w:type="dxa"/>
            <w:vAlign w:val="bottom"/>
            <w:shd w:val="clear" w:color="auto" w:fill="BDD6EE"/>
          </w:tcPr>
          <w:p>
            <w:pPr>
              <w:spacing w:after="0"/>
              <w:rPr>
                <w:sz w:val="14"/>
                <w:szCs w:val="14"/>
                <w:color w:val="auto"/>
              </w:rPr>
            </w:pPr>
          </w:p>
        </w:tc>
        <w:tc>
          <w:tcPr>
            <w:tcW w:w="1800" w:type="dxa"/>
            <w:vAlign w:val="bottom"/>
            <w:shd w:val="clear" w:color="auto" w:fill="BDD6EE"/>
          </w:tcPr>
          <w:p>
            <w:pPr>
              <w:ind w:left="60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600" w:type="dxa"/>
            <w:vAlign w:val="bottom"/>
            <w:shd w:val="clear" w:color="auto" w:fill="BDD6EE"/>
          </w:tcPr>
          <w:p>
            <w:pPr>
              <w:ind w:left="26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3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40" w:type="dxa"/>
            <w:vAlign w:val="bottom"/>
            <w:shd w:val="clear" w:color="auto" w:fill="BDD6EE"/>
          </w:tcPr>
          <w:p>
            <w:pPr>
              <w:ind w:left="30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56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4"/>
                <w:szCs w:val="14"/>
                <w:b w:val="1"/>
                <w:bCs w:val="1"/>
                <w:color w:val="auto"/>
              </w:rPr>
              <w:t>Beneficially</w:t>
            </w:r>
          </w:p>
        </w:tc>
      </w:tr>
      <w:tr>
        <w:trPr>
          <w:trHeight w:val="170"/>
        </w:trPr>
        <w:tc>
          <w:tcPr>
            <w:tcW w:w="3480" w:type="dxa"/>
            <w:vAlign w:val="bottom"/>
            <w:shd w:val="clear" w:color="auto" w:fill="BDD6EE"/>
          </w:tcPr>
          <w:p>
            <w:pPr>
              <w:spacing w:after="0"/>
              <w:rPr>
                <w:sz w:val="14"/>
                <w:szCs w:val="14"/>
                <w:color w:val="auto"/>
              </w:rPr>
            </w:pPr>
          </w:p>
        </w:tc>
        <w:tc>
          <w:tcPr>
            <w:tcW w:w="1800" w:type="dxa"/>
            <w:vAlign w:val="bottom"/>
            <w:shd w:val="clear" w:color="auto" w:fill="BDD6EE"/>
          </w:tcPr>
          <w:p>
            <w:pPr>
              <w:ind w:left="600"/>
              <w:spacing w:after="0"/>
              <w:rPr>
                <w:sz w:val="20"/>
                <w:szCs w:val="20"/>
                <w:color w:val="auto"/>
              </w:rPr>
            </w:pPr>
            <w:r>
              <w:rPr>
                <w:rFonts w:ascii="Times New Roman" w:cs="Times New Roman" w:eastAsia="Times New Roman" w:hAnsi="Times New Roman"/>
                <w:sz w:val="14"/>
                <w:szCs w:val="14"/>
                <w:b w:val="1"/>
                <w:bCs w:val="1"/>
                <w:color w:val="auto"/>
              </w:rPr>
              <w:t>Owned Prior to</w:t>
            </w:r>
          </w:p>
        </w:tc>
        <w:tc>
          <w:tcPr>
            <w:tcW w:w="1600" w:type="dxa"/>
            <w:vAlign w:val="bottom"/>
            <w:shd w:val="clear" w:color="auto" w:fill="BDD6EE"/>
          </w:tcPr>
          <w:p>
            <w:pPr>
              <w:ind w:left="260"/>
              <w:spacing w:after="0"/>
              <w:rPr>
                <w:sz w:val="20"/>
                <w:szCs w:val="20"/>
                <w:color w:val="auto"/>
              </w:rPr>
            </w:pPr>
            <w:r>
              <w:rPr>
                <w:rFonts w:ascii="Times New Roman" w:cs="Times New Roman" w:eastAsia="Times New Roman" w:hAnsi="Times New Roman"/>
                <w:sz w:val="14"/>
                <w:szCs w:val="14"/>
                <w:b w:val="1"/>
                <w:bCs w:val="1"/>
                <w:color w:val="auto"/>
              </w:rPr>
              <w:t>Owned Prior to the</w:t>
            </w:r>
          </w:p>
        </w:tc>
        <w:tc>
          <w:tcPr>
            <w:tcW w:w="13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4"/>
                <w:szCs w:val="14"/>
                <w:b w:val="1"/>
                <w:bCs w:val="1"/>
                <w:color w:val="auto"/>
              </w:rPr>
              <w:t>Registered for</w:t>
            </w:r>
          </w:p>
        </w:tc>
        <w:tc>
          <w:tcPr>
            <w:tcW w:w="1540" w:type="dxa"/>
            <w:vAlign w:val="bottom"/>
            <w:shd w:val="clear" w:color="auto" w:fill="BDD6EE"/>
          </w:tcPr>
          <w:p>
            <w:pPr>
              <w:ind w:left="300"/>
              <w:spacing w:after="0"/>
              <w:rPr>
                <w:sz w:val="20"/>
                <w:szCs w:val="20"/>
                <w:color w:val="auto"/>
              </w:rPr>
            </w:pPr>
            <w:r>
              <w:rPr>
                <w:rFonts w:ascii="Times New Roman" w:cs="Times New Roman" w:eastAsia="Times New Roman" w:hAnsi="Times New Roman"/>
                <w:sz w:val="14"/>
                <w:szCs w:val="14"/>
                <w:b w:val="1"/>
                <w:bCs w:val="1"/>
                <w:color w:val="auto"/>
              </w:rPr>
              <w:t>Owned After the</w:t>
            </w:r>
          </w:p>
        </w:tc>
        <w:tc>
          <w:tcPr>
            <w:tcW w:w="156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4"/>
                <w:szCs w:val="14"/>
                <w:b w:val="1"/>
                <w:bCs w:val="1"/>
                <w:color w:val="auto"/>
              </w:rPr>
              <w:t>Owned After the</w:t>
            </w:r>
          </w:p>
        </w:tc>
      </w:tr>
      <w:tr>
        <w:trPr>
          <w:trHeight w:val="186"/>
        </w:trPr>
        <w:tc>
          <w:tcPr>
            <w:tcW w:w="3480" w:type="dxa"/>
            <w:vAlign w:val="bottom"/>
            <w:tcBorders>
              <w:bottom w:val="single" w:sz="8" w:color="auto"/>
            </w:tcBorders>
            <w:shd w:val="clear" w:color="auto" w:fill="BDD6EE"/>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800" w:type="dxa"/>
            <w:vAlign w:val="bottom"/>
            <w:tcBorders>
              <w:bottom w:val="single" w:sz="8" w:color="auto"/>
            </w:tcBorders>
            <w:shd w:val="clear" w:color="auto" w:fill="BDD6EE"/>
          </w:tcPr>
          <w:p>
            <w:pPr>
              <w:ind w:left="60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600" w:type="dxa"/>
            <w:vAlign w:val="bottom"/>
            <w:tcBorders>
              <w:bottom w:val="single" w:sz="8" w:color="auto"/>
            </w:tcBorders>
            <w:shd w:val="clear" w:color="auto" w:fill="BDD6EE"/>
          </w:tcPr>
          <w:p>
            <w:pPr>
              <w:ind w:left="2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300" w:type="dxa"/>
            <w:vAlign w:val="bottom"/>
            <w:tcBorders>
              <w:bottom w:val="single" w:sz="8" w:color="auto"/>
            </w:tcBorders>
            <w:shd w:val="clear" w:color="auto" w:fill="BDD6EE"/>
          </w:tcPr>
          <w:p>
            <w:pPr>
              <w:ind w:left="140"/>
              <w:spacing w:after="0"/>
              <w:rPr>
                <w:sz w:val="20"/>
                <w:szCs w:val="20"/>
                <w:color w:val="auto"/>
              </w:rPr>
            </w:pPr>
            <w:r>
              <w:rPr>
                <w:rFonts w:ascii="Times New Roman" w:cs="Times New Roman" w:eastAsia="Times New Roman" w:hAnsi="Times New Roman"/>
                <w:sz w:val="14"/>
                <w:szCs w:val="14"/>
                <w:b w:val="1"/>
                <w:bCs w:val="1"/>
                <w:color w:val="auto"/>
              </w:rPr>
              <w:t>Sale Hereby</w:t>
            </w:r>
          </w:p>
        </w:tc>
        <w:tc>
          <w:tcPr>
            <w:tcW w:w="1540" w:type="dxa"/>
            <w:vAlign w:val="bottom"/>
            <w:tcBorders>
              <w:bottom w:val="single" w:sz="8" w:color="auto"/>
            </w:tcBorders>
            <w:shd w:val="clear" w:color="auto" w:fill="BDD6EE"/>
          </w:tcPr>
          <w:p>
            <w:pPr>
              <w:ind w:left="3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560" w:type="dxa"/>
            <w:vAlign w:val="bottom"/>
            <w:tcBorders>
              <w:bottom w:val="single" w:sz="8" w:color="auto"/>
            </w:tcBorders>
            <w:shd w:val="clear" w:color="auto" w:fill="BDD6EE"/>
          </w:tcPr>
          <w:p>
            <w:pPr>
              <w:ind w:left="220"/>
              <w:spacing w:after="0"/>
              <w:rPr>
                <w:sz w:val="20"/>
                <w:szCs w:val="20"/>
                <w:color w:val="auto"/>
              </w:rPr>
            </w:pPr>
            <w:r>
              <w:rPr>
                <w:rFonts w:ascii="Times New Roman" w:cs="Times New Roman" w:eastAsia="Times New Roman" w:hAnsi="Times New Roman"/>
                <w:sz w:val="14"/>
                <w:szCs w:val="14"/>
                <w:b w:val="1"/>
                <w:bCs w:val="1"/>
                <w:color w:val="auto"/>
              </w:rPr>
              <w:t>Offering</w:t>
            </w:r>
          </w:p>
        </w:tc>
      </w:tr>
      <w:tr>
        <w:trPr>
          <w:trHeight w:val="193"/>
        </w:trPr>
        <w:tc>
          <w:tcPr>
            <w:tcW w:w="3480" w:type="dxa"/>
            <w:vAlign w:val="bottom"/>
          </w:tcPr>
          <w:p>
            <w:pPr>
              <w:spacing w:after="0" w:line="192" w:lineRule="exact"/>
              <w:rPr>
                <w:sz w:val="20"/>
                <w:szCs w:val="20"/>
                <w:color w:val="auto"/>
              </w:rPr>
            </w:pPr>
            <w:r>
              <w:rPr>
                <w:rFonts w:ascii="Times New Roman" w:cs="Times New Roman" w:eastAsia="Times New Roman" w:hAnsi="Times New Roman"/>
                <w:sz w:val="14"/>
                <w:szCs w:val="14"/>
                <w:color w:val="auto"/>
              </w:rPr>
              <w:t>Frazier Life Sciences Public Fund, L.P</w:t>
            </w:r>
            <w:r>
              <w:rPr>
                <w:rFonts w:ascii="Times New Roman" w:cs="Times New Roman" w:eastAsia="Times New Roman" w:hAnsi="Times New Roman"/>
                <w:sz w:val="22"/>
                <w:szCs w:val="22"/>
                <w:color w:val="auto"/>
                <w:vertAlign w:val="superscript"/>
              </w:rPr>
              <w:t>(1)</w:t>
            </w:r>
          </w:p>
        </w:tc>
        <w:tc>
          <w:tcPr>
            <w:tcW w:w="1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6,879,516</w:t>
            </w:r>
          </w:p>
        </w:tc>
        <w:tc>
          <w:tcPr>
            <w:tcW w:w="1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3.6%</w:t>
            </w: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6,511,868</w:t>
            </w:r>
          </w:p>
        </w:tc>
        <w:tc>
          <w:tcPr>
            <w:tcW w:w="1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3,623,582</w:t>
            </w:r>
          </w:p>
        </w:tc>
        <w:tc>
          <w:tcPr>
            <w:tcW w:w="1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1.9%</w:t>
            </w:r>
          </w:p>
        </w:tc>
      </w:tr>
      <w:tr>
        <w:trPr>
          <w:trHeight w:val="244"/>
        </w:trPr>
        <w:tc>
          <w:tcPr>
            <w:tcW w:w="3480" w:type="dxa"/>
            <w:vAlign w:val="bottom"/>
            <w:shd w:val="clear" w:color="auto" w:fill="BDD6EE"/>
          </w:tcPr>
          <w:p>
            <w:pPr>
              <w:spacing w:after="0" w:line="244" w:lineRule="exact"/>
              <w:rPr>
                <w:sz w:val="20"/>
                <w:szCs w:val="20"/>
                <w:color w:val="auto"/>
              </w:rPr>
            </w:pPr>
            <w:r>
              <w:rPr>
                <w:rFonts w:ascii="Times New Roman" w:cs="Times New Roman" w:eastAsia="Times New Roman" w:hAnsi="Times New Roman"/>
                <w:sz w:val="14"/>
                <w:szCs w:val="14"/>
                <w:color w:val="auto"/>
              </w:rPr>
              <w:t>Frazier Life Sciences XI, L.P.</w:t>
            </w:r>
            <w:r>
              <w:rPr>
                <w:rFonts w:ascii="Times New Roman" w:cs="Times New Roman" w:eastAsia="Times New Roman" w:hAnsi="Times New Roman"/>
                <w:sz w:val="23"/>
                <w:szCs w:val="23"/>
                <w:color w:val="auto"/>
                <w:vertAlign w:val="superscript"/>
              </w:rPr>
              <w:t>(2)</w:t>
            </w:r>
          </w:p>
        </w:tc>
        <w:tc>
          <w:tcPr>
            <w:tcW w:w="1800" w:type="dxa"/>
            <w:vAlign w:val="bottom"/>
            <w:shd w:val="clear" w:color="auto" w:fill="BDD6EE"/>
          </w:tcPr>
          <w:p>
            <w:pPr>
              <w:ind w:left="600"/>
              <w:spacing w:after="0"/>
              <w:rPr>
                <w:sz w:val="20"/>
                <w:szCs w:val="20"/>
                <w:color w:val="auto"/>
              </w:rPr>
            </w:pPr>
            <w:r>
              <w:rPr>
                <w:rFonts w:ascii="Times New Roman" w:cs="Times New Roman" w:eastAsia="Times New Roman" w:hAnsi="Times New Roman"/>
                <w:sz w:val="14"/>
                <w:szCs w:val="14"/>
                <w:color w:val="auto"/>
              </w:rPr>
              <w:t>337,989</w:t>
            </w:r>
          </w:p>
        </w:tc>
        <w:tc>
          <w:tcPr>
            <w:tcW w:w="1600" w:type="dxa"/>
            <w:vAlign w:val="bottom"/>
            <w:shd w:val="clear" w:color="auto" w:fill="BDD6EE"/>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4"/>
                <w:szCs w:val="14"/>
                <w:color w:val="auto"/>
              </w:rPr>
              <w:t>60,894</w:t>
            </w:r>
          </w:p>
        </w:tc>
        <w:tc>
          <w:tcPr>
            <w:tcW w:w="1540" w:type="dxa"/>
            <w:vAlign w:val="bottom"/>
            <w:shd w:val="clear" w:color="auto" w:fill="BDD6EE"/>
          </w:tcPr>
          <w:p>
            <w:pPr>
              <w:ind w:left="300"/>
              <w:spacing w:after="0"/>
              <w:rPr>
                <w:sz w:val="20"/>
                <w:szCs w:val="20"/>
                <w:color w:val="auto"/>
              </w:rPr>
            </w:pPr>
            <w:r>
              <w:rPr>
                <w:rFonts w:ascii="Times New Roman" w:cs="Times New Roman" w:eastAsia="Times New Roman" w:hAnsi="Times New Roman"/>
                <w:sz w:val="14"/>
                <w:szCs w:val="14"/>
                <w:color w:val="auto"/>
              </w:rPr>
              <w:t>307,542</w:t>
            </w:r>
          </w:p>
        </w:tc>
        <w:tc>
          <w:tcPr>
            <w:tcW w:w="156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244"/>
        </w:trPr>
        <w:tc>
          <w:tcPr>
            <w:tcW w:w="3480" w:type="dxa"/>
            <w:vAlign w:val="bottom"/>
          </w:tcPr>
          <w:p>
            <w:pPr>
              <w:spacing w:after="0" w:line="244" w:lineRule="exact"/>
              <w:rPr>
                <w:sz w:val="20"/>
                <w:szCs w:val="20"/>
                <w:color w:val="auto"/>
              </w:rPr>
            </w:pPr>
            <w:r>
              <w:rPr>
                <w:rFonts w:ascii="Times New Roman" w:cs="Times New Roman" w:eastAsia="Times New Roman" w:hAnsi="Times New Roman"/>
                <w:sz w:val="14"/>
                <w:szCs w:val="14"/>
                <w:color w:val="auto"/>
              </w:rPr>
              <w:t>Frazier Life Sciences XII, L.P.</w:t>
            </w:r>
            <w:r>
              <w:rPr>
                <w:rFonts w:ascii="Times New Roman" w:cs="Times New Roman" w:eastAsia="Times New Roman" w:hAnsi="Times New Roman"/>
                <w:sz w:val="23"/>
                <w:szCs w:val="23"/>
                <w:color w:val="auto"/>
                <w:vertAlign w:val="superscript"/>
              </w:rPr>
              <w:t>(3)</w:t>
            </w:r>
          </w:p>
        </w:tc>
        <w:tc>
          <w:tcPr>
            <w:tcW w:w="1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918,572</w:t>
            </w:r>
          </w:p>
        </w:tc>
        <w:tc>
          <w:tcPr>
            <w:tcW w:w="1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763,728</w:t>
            </w:r>
          </w:p>
        </w:tc>
        <w:tc>
          <w:tcPr>
            <w:tcW w:w="1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536,708</w:t>
            </w:r>
          </w:p>
        </w:tc>
        <w:tc>
          <w:tcPr>
            <w:tcW w:w="1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244"/>
        </w:trPr>
        <w:tc>
          <w:tcPr>
            <w:tcW w:w="3480" w:type="dxa"/>
            <w:vAlign w:val="bottom"/>
            <w:shd w:val="clear" w:color="auto" w:fill="BDD6EE"/>
          </w:tcPr>
          <w:p>
            <w:pPr>
              <w:spacing w:after="0" w:line="244" w:lineRule="exact"/>
              <w:rPr>
                <w:sz w:val="20"/>
                <w:szCs w:val="20"/>
                <w:color w:val="auto"/>
              </w:rPr>
            </w:pPr>
            <w:r>
              <w:rPr>
                <w:rFonts w:ascii="Times New Roman" w:cs="Times New Roman" w:eastAsia="Times New Roman" w:hAnsi="Times New Roman"/>
                <w:sz w:val="14"/>
                <w:szCs w:val="14"/>
                <w:color w:val="auto"/>
              </w:rPr>
              <w:t>Deep Track Biotechnology Master Fund, Ltd.</w:t>
            </w:r>
            <w:r>
              <w:rPr>
                <w:rFonts w:ascii="Times New Roman" w:cs="Times New Roman" w:eastAsia="Times New Roman" w:hAnsi="Times New Roman"/>
                <w:sz w:val="23"/>
                <w:szCs w:val="23"/>
                <w:color w:val="auto"/>
                <w:vertAlign w:val="superscript"/>
              </w:rPr>
              <w:t>(4)</w:t>
            </w:r>
          </w:p>
        </w:tc>
        <w:tc>
          <w:tcPr>
            <w:tcW w:w="1800" w:type="dxa"/>
            <w:vAlign w:val="bottom"/>
            <w:shd w:val="clear" w:color="auto" w:fill="BDD6EE"/>
          </w:tcPr>
          <w:p>
            <w:pPr>
              <w:ind w:left="600"/>
              <w:spacing w:after="0"/>
              <w:rPr>
                <w:sz w:val="20"/>
                <w:szCs w:val="20"/>
                <w:color w:val="auto"/>
              </w:rPr>
            </w:pPr>
            <w:r>
              <w:rPr>
                <w:rFonts w:ascii="Times New Roman" w:cs="Times New Roman" w:eastAsia="Times New Roman" w:hAnsi="Times New Roman"/>
                <w:sz w:val="14"/>
                <w:szCs w:val="14"/>
                <w:color w:val="auto"/>
              </w:rPr>
              <w:t>2,901,471</w:t>
            </w:r>
          </w:p>
        </w:tc>
        <w:tc>
          <w:tcPr>
            <w:tcW w:w="1600" w:type="dxa"/>
            <w:vAlign w:val="bottom"/>
            <w:shd w:val="clear" w:color="auto" w:fill="BDD6EE"/>
          </w:tcPr>
          <w:p>
            <w:pPr>
              <w:ind w:left="260"/>
              <w:spacing w:after="0"/>
              <w:rPr>
                <w:sz w:val="20"/>
                <w:szCs w:val="20"/>
                <w:color w:val="auto"/>
              </w:rPr>
            </w:pPr>
            <w:r>
              <w:rPr>
                <w:rFonts w:ascii="Times New Roman" w:cs="Times New Roman" w:eastAsia="Times New Roman" w:hAnsi="Times New Roman"/>
                <w:sz w:val="14"/>
                <w:szCs w:val="14"/>
                <w:color w:val="auto"/>
              </w:rPr>
              <w:t>1.5%</w:t>
            </w:r>
          </w:p>
        </w:tc>
        <w:tc>
          <w:tcPr>
            <w:tcW w:w="13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4"/>
                <w:szCs w:val="14"/>
                <w:color w:val="auto"/>
              </w:rPr>
              <w:t>5,802,942</w:t>
            </w:r>
          </w:p>
        </w:tc>
        <w:tc>
          <w:tcPr>
            <w:tcW w:w="1540" w:type="dxa"/>
            <w:vAlign w:val="bottom"/>
            <w:shd w:val="clear" w:color="auto" w:fill="BDD6EE"/>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244"/>
        </w:trPr>
        <w:tc>
          <w:tcPr>
            <w:tcW w:w="3480" w:type="dxa"/>
            <w:vAlign w:val="bottom"/>
          </w:tcPr>
          <w:p>
            <w:pPr>
              <w:spacing w:after="0" w:line="244" w:lineRule="exact"/>
              <w:rPr>
                <w:sz w:val="20"/>
                <w:szCs w:val="20"/>
                <w:color w:val="auto"/>
              </w:rPr>
            </w:pPr>
            <w:r>
              <w:rPr>
                <w:rFonts w:ascii="Times New Roman" w:cs="Times New Roman" w:eastAsia="Times New Roman" w:hAnsi="Times New Roman"/>
                <w:sz w:val="14"/>
                <w:szCs w:val="14"/>
                <w:color w:val="auto"/>
              </w:rPr>
              <w:t>Entities affiliated with TCG Crossover</w:t>
            </w:r>
            <w:r>
              <w:rPr>
                <w:rFonts w:ascii="Times New Roman" w:cs="Times New Roman" w:eastAsia="Times New Roman" w:hAnsi="Times New Roman"/>
                <w:sz w:val="23"/>
                <w:szCs w:val="23"/>
                <w:color w:val="auto"/>
                <w:vertAlign w:val="superscript"/>
              </w:rPr>
              <w:t>(5)</w:t>
            </w:r>
          </w:p>
        </w:tc>
        <w:tc>
          <w:tcPr>
            <w:tcW w:w="1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2,901,471</w:t>
            </w:r>
          </w:p>
        </w:tc>
        <w:tc>
          <w:tcPr>
            <w:tcW w:w="1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1.5%</w:t>
            </w: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5,802,942</w:t>
            </w:r>
          </w:p>
        </w:tc>
        <w:tc>
          <w:tcPr>
            <w:tcW w:w="1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244"/>
        </w:trPr>
        <w:tc>
          <w:tcPr>
            <w:tcW w:w="3480" w:type="dxa"/>
            <w:vAlign w:val="bottom"/>
            <w:shd w:val="clear" w:color="auto" w:fill="BDD6EE"/>
          </w:tcPr>
          <w:p>
            <w:pPr>
              <w:spacing w:after="0" w:line="244" w:lineRule="exact"/>
              <w:rPr>
                <w:sz w:val="20"/>
                <w:szCs w:val="20"/>
                <w:color w:val="auto"/>
              </w:rPr>
            </w:pPr>
            <w:r>
              <w:rPr>
                <w:rFonts w:ascii="Times New Roman" w:cs="Times New Roman" w:eastAsia="Times New Roman" w:hAnsi="Times New Roman"/>
                <w:sz w:val="14"/>
                <w:szCs w:val="14"/>
                <w:color w:val="auto"/>
              </w:rPr>
              <w:t>Cormorant Global Healthcare Master Fund, LP</w:t>
            </w:r>
            <w:r>
              <w:rPr>
                <w:rFonts w:ascii="Times New Roman" w:cs="Times New Roman" w:eastAsia="Times New Roman" w:hAnsi="Times New Roman"/>
                <w:sz w:val="23"/>
                <w:szCs w:val="23"/>
                <w:color w:val="auto"/>
                <w:vertAlign w:val="superscript"/>
              </w:rPr>
              <w:t>(6)</w:t>
            </w:r>
          </w:p>
        </w:tc>
        <w:tc>
          <w:tcPr>
            <w:tcW w:w="1800" w:type="dxa"/>
            <w:vAlign w:val="bottom"/>
            <w:shd w:val="clear" w:color="auto" w:fill="BDD6EE"/>
          </w:tcPr>
          <w:p>
            <w:pPr>
              <w:ind w:left="600"/>
              <w:spacing w:after="0"/>
              <w:rPr>
                <w:sz w:val="20"/>
                <w:szCs w:val="20"/>
                <w:color w:val="auto"/>
              </w:rPr>
            </w:pPr>
            <w:r>
              <w:rPr>
                <w:rFonts w:ascii="Times New Roman" w:cs="Times New Roman" w:eastAsia="Times New Roman" w:hAnsi="Times New Roman"/>
                <w:sz w:val="14"/>
                <w:szCs w:val="14"/>
                <w:color w:val="auto"/>
              </w:rPr>
              <w:t>1,813,419</w:t>
            </w:r>
          </w:p>
        </w:tc>
        <w:tc>
          <w:tcPr>
            <w:tcW w:w="1600" w:type="dxa"/>
            <w:vAlign w:val="bottom"/>
            <w:shd w:val="clear" w:color="auto" w:fill="BDD6EE"/>
          </w:tcPr>
          <w:p>
            <w:pPr>
              <w:ind w:left="260"/>
              <w:spacing w:after="0"/>
              <w:rPr>
                <w:sz w:val="20"/>
                <w:szCs w:val="20"/>
                <w:color w:val="auto"/>
              </w:rPr>
            </w:pPr>
            <w:r>
              <w:rPr>
                <w:rFonts w:ascii="Times New Roman" w:cs="Times New Roman" w:eastAsia="Times New Roman" w:hAnsi="Times New Roman"/>
                <w:sz w:val="14"/>
                <w:szCs w:val="14"/>
                <w:color w:val="auto"/>
              </w:rPr>
              <w:t>1.0%</w:t>
            </w:r>
          </w:p>
        </w:tc>
        <w:tc>
          <w:tcPr>
            <w:tcW w:w="13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4"/>
                <w:szCs w:val="14"/>
                <w:color w:val="auto"/>
              </w:rPr>
              <w:t>3,626,838</w:t>
            </w:r>
          </w:p>
        </w:tc>
        <w:tc>
          <w:tcPr>
            <w:tcW w:w="1540" w:type="dxa"/>
            <w:vAlign w:val="bottom"/>
            <w:shd w:val="clear" w:color="auto" w:fill="BDD6EE"/>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244"/>
        </w:trPr>
        <w:tc>
          <w:tcPr>
            <w:tcW w:w="3480" w:type="dxa"/>
            <w:vAlign w:val="bottom"/>
          </w:tcPr>
          <w:p>
            <w:pPr>
              <w:spacing w:after="0" w:line="244" w:lineRule="exact"/>
              <w:rPr>
                <w:sz w:val="20"/>
                <w:szCs w:val="20"/>
                <w:color w:val="auto"/>
              </w:rPr>
            </w:pPr>
            <w:r>
              <w:rPr>
                <w:rFonts w:ascii="Times New Roman" w:cs="Times New Roman" w:eastAsia="Times New Roman" w:hAnsi="Times New Roman"/>
                <w:sz w:val="14"/>
                <w:szCs w:val="14"/>
                <w:color w:val="auto"/>
              </w:rPr>
              <w:t>Entities affiliated with Vivo Opportunity</w:t>
            </w:r>
            <w:r>
              <w:rPr>
                <w:rFonts w:ascii="Times New Roman" w:cs="Times New Roman" w:eastAsia="Times New Roman" w:hAnsi="Times New Roman"/>
                <w:sz w:val="23"/>
                <w:szCs w:val="23"/>
                <w:color w:val="auto"/>
                <w:vertAlign w:val="superscript"/>
              </w:rPr>
              <w:t>(7)</w:t>
            </w:r>
          </w:p>
        </w:tc>
        <w:tc>
          <w:tcPr>
            <w:tcW w:w="1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1,526,398</w:t>
            </w:r>
          </w:p>
        </w:tc>
        <w:tc>
          <w:tcPr>
            <w:tcW w:w="1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3,052,796</w:t>
            </w:r>
          </w:p>
        </w:tc>
        <w:tc>
          <w:tcPr>
            <w:tcW w:w="1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244"/>
        </w:trPr>
        <w:tc>
          <w:tcPr>
            <w:tcW w:w="3480" w:type="dxa"/>
            <w:vAlign w:val="bottom"/>
            <w:shd w:val="clear" w:color="auto" w:fill="BDD6EE"/>
          </w:tcPr>
          <w:p>
            <w:pPr>
              <w:spacing w:after="0" w:line="244" w:lineRule="exact"/>
              <w:rPr>
                <w:sz w:val="20"/>
                <w:szCs w:val="20"/>
                <w:color w:val="auto"/>
              </w:rPr>
            </w:pPr>
            <w:r>
              <w:rPr>
                <w:rFonts w:ascii="Times New Roman" w:cs="Times New Roman" w:eastAsia="Times New Roman" w:hAnsi="Times New Roman"/>
                <w:sz w:val="14"/>
                <w:szCs w:val="14"/>
                <w:color w:val="auto"/>
              </w:rPr>
              <w:t>Perceptive Life Sciences Master Fund, Ltd.</w:t>
            </w:r>
            <w:r>
              <w:rPr>
                <w:rFonts w:ascii="Times New Roman" w:cs="Times New Roman" w:eastAsia="Times New Roman" w:hAnsi="Times New Roman"/>
                <w:sz w:val="23"/>
                <w:szCs w:val="23"/>
                <w:color w:val="auto"/>
                <w:vertAlign w:val="superscript"/>
              </w:rPr>
              <w:t>(8)</w:t>
            </w:r>
          </w:p>
        </w:tc>
        <w:tc>
          <w:tcPr>
            <w:tcW w:w="1800" w:type="dxa"/>
            <w:vAlign w:val="bottom"/>
            <w:shd w:val="clear" w:color="auto" w:fill="BDD6EE"/>
          </w:tcPr>
          <w:p>
            <w:pPr>
              <w:ind w:left="600"/>
              <w:spacing w:after="0"/>
              <w:rPr>
                <w:sz w:val="20"/>
                <w:szCs w:val="20"/>
                <w:color w:val="auto"/>
              </w:rPr>
            </w:pPr>
            <w:r>
              <w:rPr>
                <w:rFonts w:ascii="Times New Roman" w:cs="Times New Roman" w:eastAsia="Times New Roman" w:hAnsi="Times New Roman"/>
                <w:sz w:val="14"/>
                <w:szCs w:val="14"/>
                <w:color w:val="auto"/>
              </w:rPr>
              <w:t>1,450,735</w:t>
            </w:r>
          </w:p>
        </w:tc>
        <w:tc>
          <w:tcPr>
            <w:tcW w:w="1600" w:type="dxa"/>
            <w:vAlign w:val="bottom"/>
            <w:shd w:val="clear" w:color="auto" w:fill="BDD6EE"/>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4"/>
                <w:szCs w:val="14"/>
                <w:color w:val="auto"/>
              </w:rPr>
              <w:t>2,901,470</w:t>
            </w:r>
          </w:p>
        </w:tc>
        <w:tc>
          <w:tcPr>
            <w:tcW w:w="1540" w:type="dxa"/>
            <w:vAlign w:val="bottom"/>
            <w:shd w:val="clear" w:color="auto" w:fill="BDD6EE"/>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244"/>
        </w:trPr>
        <w:tc>
          <w:tcPr>
            <w:tcW w:w="3480" w:type="dxa"/>
            <w:vAlign w:val="bottom"/>
          </w:tcPr>
          <w:p>
            <w:pPr>
              <w:spacing w:after="0" w:line="244" w:lineRule="exact"/>
              <w:rPr>
                <w:sz w:val="20"/>
                <w:szCs w:val="20"/>
                <w:color w:val="auto"/>
              </w:rPr>
            </w:pPr>
            <w:r>
              <w:rPr>
                <w:rFonts w:ascii="Times New Roman" w:cs="Times New Roman" w:eastAsia="Times New Roman" w:hAnsi="Times New Roman"/>
                <w:sz w:val="14"/>
                <w:szCs w:val="14"/>
                <w:color w:val="auto"/>
              </w:rPr>
              <w:t>Entities affiliated with Samsara BioCapital, L.P.</w:t>
            </w:r>
            <w:r>
              <w:rPr>
                <w:rFonts w:ascii="Times New Roman" w:cs="Times New Roman" w:eastAsia="Times New Roman" w:hAnsi="Times New Roman"/>
                <w:sz w:val="23"/>
                <w:szCs w:val="23"/>
                <w:color w:val="auto"/>
                <w:vertAlign w:val="superscript"/>
              </w:rPr>
              <w:t>(9)</w:t>
            </w:r>
          </w:p>
        </w:tc>
        <w:tc>
          <w:tcPr>
            <w:tcW w:w="1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728,216</w:t>
            </w:r>
          </w:p>
        </w:tc>
        <w:tc>
          <w:tcPr>
            <w:tcW w:w="1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1,634,926</w:t>
            </w:r>
          </w:p>
        </w:tc>
        <w:tc>
          <w:tcPr>
            <w:tcW w:w="1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244"/>
        </w:trPr>
        <w:tc>
          <w:tcPr>
            <w:tcW w:w="3480" w:type="dxa"/>
            <w:vAlign w:val="bottom"/>
            <w:shd w:val="clear" w:color="auto" w:fill="BDD6EE"/>
          </w:tcPr>
          <w:p>
            <w:pPr>
              <w:spacing w:after="0" w:line="244" w:lineRule="exact"/>
              <w:rPr>
                <w:sz w:val="20"/>
                <w:szCs w:val="20"/>
                <w:color w:val="auto"/>
              </w:rPr>
            </w:pPr>
            <w:r>
              <w:rPr>
                <w:rFonts w:ascii="Times New Roman" w:cs="Times New Roman" w:eastAsia="Times New Roman" w:hAnsi="Times New Roman"/>
                <w:sz w:val="14"/>
                <w:szCs w:val="14"/>
                <w:color w:val="auto"/>
              </w:rPr>
              <w:t>Nantahala Capital Partners Limited Partnership</w:t>
            </w:r>
            <w:r>
              <w:rPr>
                <w:rFonts w:ascii="Times New Roman" w:cs="Times New Roman" w:eastAsia="Times New Roman" w:hAnsi="Times New Roman"/>
                <w:sz w:val="23"/>
                <w:szCs w:val="23"/>
                <w:color w:val="auto"/>
                <w:vertAlign w:val="superscript"/>
              </w:rPr>
              <w:t>(10)</w:t>
            </w:r>
          </w:p>
        </w:tc>
        <w:tc>
          <w:tcPr>
            <w:tcW w:w="1800" w:type="dxa"/>
            <w:vAlign w:val="bottom"/>
            <w:shd w:val="clear" w:color="auto" w:fill="BDD6EE"/>
          </w:tcPr>
          <w:p>
            <w:pPr>
              <w:ind w:left="600"/>
              <w:spacing w:after="0"/>
              <w:rPr>
                <w:sz w:val="20"/>
                <w:szCs w:val="20"/>
                <w:color w:val="auto"/>
              </w:rPr>
            </w:pPr>
            <w:r>
              <w:rPr>
                <w:rFonts w:ascii="Times New Roman" w:cs="Times New Roman" w:eastAsia="Times New Roman" w:hAnsi="Times New Roman"/>
                <w:sz w:val="14"/>
                <w:szCs w:val="14"/>
                <w:color w:val="auto"/>
              </w:rPr>
              <w:t>255,985</w:t>
            </w:r>
          </w:p>
        </w:tc>
        <w:tc>
          <w:tcPr>
            <w:tcW w:w="1600" w:type="dxa"/>
            <w:vAlign w:val="bottom"/>
            <w:shd w:val="clear" w:color="auto" w:fill="BDD6EE"/>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4"/>
                <w:szCs w:val="14"/>
                <w:color w:val="auto"/>
              </w:rPr>
              <w:t>511,970</w:t>
            </w:r>
          </w:p>
        </w:tc>
        <w:tc>
          <w:tcPr>
            <w:tcW w:w="1540" w:type="dxa"/>
            <w:vAlign w:val="bottom"/>
            <w:shd w:val="clear" w:color="auto" w:fill="BDD6EE"/>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244"/>
        </w:trPr>
        <w:tc>
          <w:tcPr>
            <w:tcW w:w="3480" w:type="dxa"/>
            <w:vAlign w:val="bottom"/>
          </w:tcPr>
          <w:p>
            <w:pPr>
              <w:spacing w:after="0" w:line="244" w:lineRule="exact"/>
              <w:rPr>
                <w:sz w:val="20"/>
                <w:szCs w:val="20"/>
                <w:color w:val="auto"/>
              </w:rPr>
            </w:pPr>
            <w:r>
              <w:rPr>
                <w:rFonts w:ascii="Times New Roman" w:cs="Times New Roman" w:eastAsia="Times New Roman" w:hAnsi="Times New Roman"/>
                <w:sz w:val="14"/>
                <w:szCs w:val="14"/>
                <w:color w:val="auto"/>
              </w:rPr>
              <w:t>NCP RFM LP</w:t>
            </w:r>
            <w:r>
              <w:rPr>
                <w:rFonts w:ascii="Times New Roman" w:cs="Times New Roman" w:eastAsia="Times New Roman" w:hAnsi="Times New Roman"/>
                <w:sz w:val="23"/>
                <w:szCs w:val="23"/>
                <w:color w:val="auto"/>
                <w:vertAlign w:val="superscript"/>
              </w:rPr>
              <w:t>(11)</w:t>
            </w:r>
          </w:p>
        </w:tc>
        <w:tc>
          <w:tcPr>
            <w:tcW w:w="1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85,901</w:t>
            </w:r>
          </w:p>
        </w:tc>
        <w:tc>
          <w:tcPr>
            <w:tcW w:w="1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171,802</w:t>
            </w:r>
          </w:p>
        </w:tc>
        <w:tc>
          <w:tcPr>
            <w:tcW w:w="1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244"/>
        </w:trPr>
        <w:tc>
          <w:tcPr>
            <w:tcW w:w="3480" w:type="dxa"/>
            <w:vAlign w:val="bottom"/>
            <w:shd w:val="clear" w:color="auto" w:fill="BDD6EE"/>
          </w:tcPr>
          <w:p>
            <w:pPr>
              <w:spacing w:after="0" w:line="244" w:lineRule="exact"/>
              <w:rPr>
                <w:sz w:val="20"/>
                <w:szCs w:val="20"/>
                <w:color w:val="auto"/>
              </w:rPr>
            </w:pPr>
            <w:r>
              <w:rPr>
                <w:rFonts w:ascii="Times New Roman" w:cs="Times New Roman" w:eastAsia="Times New Roman" w:hAnsi="Times New Roman"/>
                <w:sz w:val="14"/>
                <w:szCs w:val="14"/>
                <w:color w:val="auto"/>
              </w:rPr>
              <w:t>Blackwell Partners LLC - Series A</w:t>
            </w:r>
            <w:r>
              <w:rPr>
                <w:rFonts w:ascii="Times New Roman" w:cs="Times New Roman" w:eastAsia="Times New Roman" w:hAnsi="Times New Roman"/>
                <w:sz w:val="23"/>
                <w:szCs w:val="23"/>
                <w:color w:val="auto"/>
                <w:vertAlign w:val="superscript"/>
              </w:rPr>
              <w:t>(12)</w:t>
            </w:r>
          </w:p>
        </w:tc>
        <w:tc>
          <w:tcPr>
            <w:tcW w:w="1800" w:type="dxa"/>
            <w:vAlign w:val="bottom"/>
            <w:shd w:val="clear" w:color="auto" w:fill="BDD6EE"/>
          </w:tcPr>
          <w:p>
            <w:pPr>
              <w:ind w:left="600"/>
              <w:spacing w:after="0"/>
              <w:rPr>
                <w:sz w:val="20"/>
                <w:szCs w:val="20"/>
                <w:color w:val="auto"/>
              </w:rPr>
            </w:pPr>
            <w:r>
              <w:rPr>
                <w:rFonts w:ascii="Times New Roman" w:cs="Times New Roman" w:eastAsia="Times New Roman" w:hAnsi="Times New Roman"/>
                <w:sz w:val="14"/>
                <w:szCs w:val="14"/>
                <w:color w:val="auto"/>
              </w:rPr>
              <w:t>383,482</w:t>
            </w:r>
          </w:p>
        </w:tc>
        <w:tc>
          <w:tcPr>
            <w:tcW w:w="1600" w:type="dxa"/>
            <w:vAlign w:val="bottom"/>
            <w:shd w:val="clear" w:color="auto" w:fill="BDD6EE"/>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BDD6EE"/>
          </w:tcPr>
          <w:p>
            <w:pPr>
              <w:ind w:left="140"/>
              <w:spacing w:after="0"/>
              <w:rPr>
                <w:sz w:val="20"/>
                <w:szCs w:val="20"/>
                <w:color w:val="auto"/>
              </w:rPr>
            </w:pPr>
            <w:r>
              <w:rPr>
                <w:rFonts w:ascii="Times New Roman" w:cs="Times New Roman" w:eastAsia="Times New Roman" w:hAnsi="Times New Roman"/>
                <w:sz w:val="14"/>
                <w:szCs w:val="14"/>
                <w:color w:val="auto"/>
              </w:rPr>
              <w:t>766,964</w:t>
            </w:r>
          </w:p>
        </w:tc>
        <w:tc>
          <w:tcPr>
            <w:tcW w:w="1540" w:type="dxa"/>
            <w:vAlign w:val="bottom"/>
            <w:shd w:val="clear" w:color="auto" w:fill="BDD6EE"/>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BDD6EE"/>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All Selling Securityholders</w:t>
            </w:r>
          </w:p>
        </w:tc>
        <w:tc>
          <w:tcPr>
            <w:tcW w:w="18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20,183,155</w:t>
            </w:r>
          </w:p>
        </w:tc>
        <w:tc>
          <w:tcPr>
            <w:tcW w:w="16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10.6%</w:t>
            </w: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31,609,140</w:t>
            </w:r>
          </w:p>
        </w:tc>
        <w:tc>
          <w:tcPr>
            <w:tcW w:w="15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4,467,832</w:t>
            </w:r>
          </w:p>
        </w:tc>
        <w:tc>
          <w:tcPr>
            <w:tcW w:w="15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615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ind w:left="340" w:hanging="335"/>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19" w:name="page20"/>
    <w:bookmarkEnd w:id="19"/>
    <w:p>
      <w:pPr>
        <w:jc w:val="both"/>
        <w:ind w:left="340" w:hanging="335"/>
        <w:spacing w:after="0" w:line="264"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3,255,934 ordinary shares and 3,255,934 ABSA Warrant Shares purchased in the Private Placement, and 1,811,791 American Depositary Shares representing 3,623,582 ordinary shares held by Frazier Life Sciences Public Fund, L.P. FHMLSP, L.P. is the general partner of Frazier Life Sciences Public Fund, L.P. and the general partner of FHMLSP, L.P. is FHMLSP, L.L.C., which is managed by an investment committee of four that acts by majority vote. Accordingly, no members of such committee are attributed beneficial ownership of the securities directly held by Frazier Life Sciences Public Fund, L.P.</w:t>
      </w:r>
    </w:p>
    <w:p>
      <w:pPr>
        <w:spacing w:after="0" w:line="141"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Frazier Life Sciences Public Fund, L.P. is c/o Frazier Life Sciences Management, L.P., 1001 Page Mill Rd, Building 4, Suite B, Palo Alto, CA 94304.</w:t>
      </w:r>
    </w:p>
    <w:p>
      <w:pPr>
        <w:spacing w:after="0" w:line="178" w:lineRule="exact"/>
        <w:rPr>
          <w:rFonts w:ascii="Times New Roman" w:cs="Times New Roman" w:eastAsia="Times New Roman" w:hAnsi="Times New Roman"/>
          <w:sz w:val="14"/>
          <w:szCs w:val="14"/>
          <w:color w:val="auto"/>
        </w:rPr>
      </w:pPr>
    </w:p>
    <w:p>
      <w:pPr>
        <w:ind w:left="340" w:hanging="335"/>
        <w:spacing w:after="0" w:line="287"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30,447 ordinary shares and 30,447 ABSA Warrant Shares purchased through the Private Placement, and 153,771 American Depositary Shares representing 307,542 ordinary shares held by Frazier Life Sciences XI, L.P.</w:t>
      </w:r>
    </w:p>
    <w:p>
      <w:pPr>
        <w:spacing w:after="0" w:line="124" w:lineRule="exact"/>
        <w:rPr>
          <w:rFonts w:ascii="Times New Roman" w:cs="Times New Roman" w:eastAsia="Times New Roman" w:hAnsi="Times New Roman"/>
          <w:sz w:val="14"/>
          <w:szCs w:val="14"/>
          <w:color w:val="auto"/>
        </w:rPr>
      </w:pPr>
    </w:p>
    <w:p>
      <w:pPr>
        <w:ind w:left="340"/>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FHMLS XI, L.P. is the general partner of Frazier Life Sciences XI, L.P. and the general partner of FHMLS XI, L.P. is FHMLS XI, L.L.C., which is managed by an investment committee of three that acts by majority vote. Accordingly, no members of such committee are attributed beneficial ownership of the securities directly held by Frazier Life Sciences XI, L.P.</w:t>
      </w:r>
    </w:p>
    <w:p>
      <w:pPr>
        <w:spacing w:after="0" w:line="124"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Frazier Life Sciences XI, L.P. is c/o Frazier Life Sciences Management, L.P., 1001 Page Mill Rd, Building 4, Suite B, Palo Alto, CA 94304.</w:t>
      </w:r>
    </w:p>
    <w:p>
      <w:pPr>
        <w:spacing w:after="0" w:line="178" w:lineRule="exact"/>
        <w:rPr>
          <w:rFonts w:ascii="Times New Roman" w:cs="Times New Roman" w:eastAsia="Times New Roman" w:hAnsi="Times New Roman"/>
          <w:sz w:val="14"/>
          <w:szCs w:val="14"/>
          <w:color w:val="auto"/>
        </w:rPr>
      </w:pPr>
    </w:p>
    <w:p>
      <w:pPr>
        <w:ind w:left="340" w:hanging="335"/>
        <w:spacing w:after="0" w:line="287"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381,864 ordinary shares and 381,864 ABSA Warrant Shares purchased through the Private Placement, and 268,354 American Depositary Shares representing 536,708 ordinary shares held by Frazier Life Sciences XII, L.P.</w:t>
      </w:r>
    </w:p>
    <w:p>
      <w:pPr>
        <w:spacing w:after="0" w:line="124" w:lineRule="exact"/>
        <w:rPr>
          <w:rFonts w:ascii="Times New Roman" w:cs="Times New Roman" w:eastAsia="Times New Roman" w:hAnsi="Times New Roman"/>
          <w:sz w:val="14"/>
          <w:szCs w:val="14"/>
          <w:color w:val="auto"/>
        </w:rPr>
      </w:pPr>
    </w:p>
    <w:p>
      <w:pPr>
        <w:ind w:left="340"/>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FHMLS XII, L.P. is the general partner of Frazier Life Sciences XII, L.P. and the general partner of FHMLS XII, L.P. is FHMLS XII, L.L.C., which is managed by an investment committee of three that acts by majority vote. Accordingly, no members of such committee are attributed beneficial ownership of the securities directly held by Frazier Life Sciences XII, L.P.</w:t>
      </w:r>
    </w:p>
    <w:p>
      <w:pPr>
        <w:spacing w:after="0" w:line="124"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Frazier Life Sciences XII, L.P. is c/o Frazier Life Sciences Management, L.P., 1001 Page Mill Rd, Building 4, Suite B, Palo Alto, CA 94304.</w:t>
      </w:r>
    </w:p>
    <w:p>
      <w:pPr>
        <w:spacing w:after="0" w:line="178" w:lineRule="exact"/>
        <w:rPr>
          <w:rFonts w:ascii="Times New Roman" w:cs="Times New Roman" w:eastAsia="Times New Roman" w:hAnsi="Times New Roman"/>
          <w:sz w:val="14"/>
          <w:szCs w:val="14"/>
          <w:color w:val="auto"/>
        </w:rPr>
      </w:pPr>
    </w:p>
    <w:p>
      <w:pPr>
        <w:ind w:left="340" w:hanging="335"/>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2,901,471 ordinary shares and 2,901,471 ABSA Warrant Shares purchased in the Private Placement and held by Deep Track Biotechnology Master Fund, Ltd.</w:t>
      </w:r>
    </w:p>
    <w:p>
      <w:pPr>
        <w:spacing w:after="0" w:line="178" w:lineRule="exact"/>
        <w:rPr>
          <w:rFonts w:ascii="Times New Roman" w:cs="Times New Roman" w:eastAsia="Times New Roman" w:hAnsi="Times New Roman"/>
          <w:sz w:val="14"/>
          <w:szCs w:val="14"/>
          <w:color w:val="auto"/>
        </w:rPr>
      </w:pPr>
    </w:p>
    <w:p>
      <w:pPr>
        <w:ind w:left="340"/>
        <w:spacing w:after="0" w:line="29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David Kroin is the managing member of Deep Track Capital GP, LLC (the “GP”). The GP is the general partner of Deep Track Capital, LP (the “IM”). The IM is the investment manager of Deep Track Biotechnology Master Fund, Ltd. The address of the selling securityholder is 200 Greenwich Avenue,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4"/>
          <w:szCs w:val="14"/>
          <w:color w:val="auto"/>
        </w:rPr>
        <w:t xml:space="preserve"> Floor, Greenwich, CT 06830</w:t>
      </w:r>
    </w:p>
    <w:p>
      <w:pPr>
        <w:spacing w:after="0" w:line="22" w:lineRule="exact"/>
        <w:rPr>
          <w:rFonts w:ascii="Times New Roman" w:cs="Times New Roman" w:eastAsia="Times New Roman" w:hAnsi="Times New Roman"/>
          <w:sz w:val="14"/>
          <w:szCs w:val="14"/>
          <w:color w:val="auto"/>
        </w:rPr>
      </w:pPr>
    </w:p>
    <w:p>
      <w:pPr>
        <w:ind w:left="340" w:hanging="335"/>
        <w:spacing w:after="0" w:line="287"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1,450,736 ordinary shares and 1,450,736 ABSA Warrant Shares purchased in the Private Placement and held by TCG Crossover Fund II, and (ii) 1,450,735 ordinary shares and 1,450,735 ABSA Warrant Shares purchased in the Private Placement held by TCG Crossover Fund III, L.P.</w:t>
      </w:r>
    </w:p>
    <w:p>
      <w:pPr>
        <w:spacing w:after="0" w:line="124" w:lineRule="exact"/>
        <w:rPr>
          <w:rFonts w:ascii="Times New Roman" w:cs="Times New Roman" w:eastAsia="Times New Roman" w:hAnsi="Times New Roman"/>
          <w:sz w:val="14"/>
          <w:szCs w:val="14"/>
          <w:color w:val="auto"/>
        </w:rPr>
      </w:pPr>
    </w:p>
    <w:p>
      <w:pPr>
        <w:jc w:val="both"/>
        <w:ind w:left="34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TCG Crossover GP II, LLC is the general partner of TCG Crossover Fund II, L.P. and may be deemed to have voting, investment, and dispositive power with respect to these securities. Chen Yu is the sole managing member of TCG Crossover GP II, LLC and may be deemed to share voting, investment and dispositive power with respect to these securities. The principal business address of the entities and individual referenced in this footnote is 245 Lytton Ave., Suite 350, Palo Alto, CA 94301.</w:t>
      </w:r>
    </w:p>
    <w:p>
      <w:pPr>
        <w:spacing w:after="0" w:line="136" w:lineRule="exact"/>
        <w:rPr>
          <w:rFonts w:ascii="Times New Roman" w:cs="Times New Roman" w:eastAsia="Times New Roman" w:hAnsi="Times New Roman"/>
          <w:sz w:val="14"/>
          <w:szCs w:val="14"/>
          <w:color w:val="auto"/>
        </w:rPr>
      </w:pPr>
    </w:p>
    <w:p>
      <w:pPr>
        <w:jc w:val="both"/>
        <w:ind w:left="34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TCG Crossover GP III, LLC is the general partner of TCG Crossover Fund III, L.P and may be deemed to have voting, investment, and dispositive power with respect to these securities. Chen Yu is the sole managing member of TCG Crossover GP III, LLC and may be deemed to share voting, investment and dispositive power with respect to these securities. The principal business address of the entities and individual referenced in this footnote is 245 Lytton Ave., Suite 350, Palo Alto, CA 94301.</w:t>
      </w:r>
    </w:p>
    <w:p>
      <w:pPr>
        <w:spacing w:after="0" w:line="136" w:lineRule="exact"/>
        <w:rPr>
          <w:rFonts w:ascii="Times New Roman" w:cs="Times New Roman" w:eastAsia="Times New Roman" w:hAnsi="Times New Roman"/>
          <w:sz w:val="14"/>
          <w:szCs w:val="14"/>
          <w:color w:val="auto"/>
        </w:rPr>
      </w:pPr>
    </w:p>
    <w:p>
      <w:pPr>
        <w:ind w:left="340" w:hanging="335"/>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1,813,419 ordinary shares and 1,813,419 ABSA Warrant Shares purchased in the Private Placement and held by Cormorant Global Healthcare Master Fund, LP.</w:t>
      </w:r>
    </w:p>
    <w:p>
      <w:pPr>
        <w:spacing w:after="0" w:line="178" w:lineRule="exact"/>
        <w:rPr>
          <w:rFonts w:ascii="Times New Roman" w:cs="Times New Roman" w:eastAsia="Times New Roman" w:hAnsi="Times New Roman"/>
          <w:sz w:val="14"/>
          <w:szCs w:val="14"/>
          <w:color w:val="auto"/>
        </w:rPr>
      </w:pPr>
    </w:p>
    <w:p>
      <w:pPr>
        <w:jc w:val="both"/>
        <w:ind w:left="340"/>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Cormorant Global Healthcare GP, LLC serves as the general partner of Cormorant Global Healthcare Master Fund, LP. Bihua Chen serves as the managing member of Cormorant Global Healthcare GP, LLC. Each of Cormorant Global Healthcare GP, LLC and Ms. Chen disclaim beneficial ownership of such shares except to the extent of any pecuniary interest therein. Ms. Chen, as the managing member of Cormorant Global Healthcare GP, LLC, has sole voting and investment control over the shares of Common Stock held by Cormorant Global Healthcare Master Fund, LP. The address for Cormorant Global Healthcare Master Fund, LP is 200 Clarendon Street, 50th Floor, Boston, MA 02116.</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20" w:name="page21"/>
    <w:bookmarkEnd w:id="20"/>
    <w:p>
      <w:pPr>
        <w:jc w:val="both"/>
        <w:ind w:left="340" w:hanging="335"/>
        <w:spacing w:after="0" w:line="264"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693,180 ordinary shares and 693,180 ABSA Warrant Shares purchased in the Private Placement and held by Vivo Opportunity Fund Holdings, L.P. (“Vivo Opportunity Fund”), (ii) 70,018 ordinary shares and 70,018 ABSA Warrant Shares purchased in the Private Placement and held by Vivo Opportunity Cayman Fund, L.P. (“Vivo Cayman Fund”), and (iii) 763,200 ordinary shares and 763,200 ABSA Warrant Shares purchased in the Private Placement and held by Vivo Opportunity Co-Invest (Cycle 3), L.P. (“Cycle 3” and with Vivo Opportunity Fund, the “Vivo U.S. Entities”).</w:t>
      </w:r>
    </w:p>
    <w:p>
      <w:pPr>
        <w:spacing w:after="0" w:line="141" w:lineRule="exact"/>
        <w:rPr>
          <w:sz w:val="20"/>
          <w:szCs w:val="20"/>
          <w:color w:val="auto"/>
        </w:rPr>
      </w:pPr>
    </w:p>
    <w:p>
      <w:pPr>
        <w:jc w:val="both"/>
        <w:ind w:left="340"/>
        <w:spacing w:after="0" w:line="270" w:lineRule="auto"/>
        <w:rPr>
          <w:sz w:val="20"/>
          <w:szCs w:val="20"/>
          <w:color w:val="auto"/>
        </w:rPr>
      </w:pPr>
      <w:r>
        <w:rPr>
          <w:rFonts w:ascii="Times New Roman" w:cs="Times New Roman" w:eastAsia="Times New Roman" w:hAnsi="Times New Roman"/>
          <w:sz w:val="14"/>
          <w:szCs w:val="14"/>
          <w:color w:val="auto"/>
        </w:rPr>
        <w:t>Vivo Opportunity, LLC is the general partner of the Vivo U.S. Entities. Vivo Opportunity Cayman, LLC is the general partner of Vivo Cayman Fund. The voting members of each of Vivo Opportunity, LLC and Vivo Opportunity Cayman, LLC are Kevin Dai, Gaurav Aggarwal, Frank Kung and Shan Fu, none of whom has individual voting or investment power with respect to the shares held by the Vivo US Entities or Vivo Cayman Fund. The address of the individuals and entities referenced in this footnote is 192 Lytton Avenue, Palo Alto, California 94301.</w:t>
      </w:r>
    </w:p>
    <w:p>
      <w:pPr>
        <w:spacing w:after="0" w:line="136" w:lineRule="exact"/>
        <w:rPr>
          <w:sz w:val="20"/>
          <w:szCs w:val="20"/>
          <w:color w:val="auto"/>
        </w:rPr>
      </w:pPr>
    </w:p>
    <w:p>
      <w:pPr>
        <w:ind w:left="340" w:hanging="335"/>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1,450,735 ordinary shares and 1,450,735 ABSA Warrant Shares purchased in the Private Placement and held by Perceptive Life Sciences Master Fund, Ltd.</w:t>
      </w:r>
    </w:p>
    <w:p>
      <w:pPr>
        <w:spacing w:after="0" w:line="178" w:lineRule="exact"/>
        <w:rPr>
          <w:rFonts w:ascii="Times New Roman" w:cs="Times New Roman" w:eastAsia="Times New Roman" w:hAnsi="Times New Roman"/>
          <w:sz w:val="14"/>
          <w:szCs w:val="14"/>
          <w:color w:val="auto"/>
        </w:rPr>
      </w:pPr>
    </w:p>
    <w:p>
      <w:pPr>
        <w:jc w:val="both"/>
        <w:ind w:left="340"/>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Perceptive Advisors LLC is the investment manager of Perceptive Life Sciences Master Fund, Ltd. and may be deemed to beneficially own the securities directly held by Perceptive Life Sciences Master Fund, Ltd. Perceptive Venture Advisors, LP is the investment manager to Perceptive Xontogeny Venture Fund, LP and may be deemed to beneficially own the securities directly held by Perceptive Xontogeny Venture Fund, LP. Joseph Edelman is the controlling person of Perceptive Advisors LLC and Perceptive Venture Advisors, LP and accordingly, may be deemed to have beneficial ownership of the shares beneficially owned by Perceptive Life Sciences Master Fund, Ltd., Perceptive Advisors LLC, Perceptive Xontogeny Venture Fund, LP and Perceptive Venture Advisors LP. Mr. Edelman, Perceptive Life Sciences Master Fund, Ltd., Perceptive Advisors LLC, Perceptive Xontogeny Venture Fund, LP and Perceptive Venture Advisors LP disclaim beneficial ownership of all such securities except to the extent of its or his pecuniary interest therein. The address of Perceptive is 51 Astor Place, 10th Floor, New York, NY 10003.</w:t>
      </w:r>
    </w:p>
    <w:p>
      <w:pPr>
        <w:spacing w:after="0" w:line="142" w:lineRule="exact"/>
        <w:rPr>
          <w:rFonts w:ascii="Times New Roman" w:cs="Times New Roman" w:eastAsia="Times New Roman" w:hAnsi="Times New Roman"/>
          <w:sz w:val="14"/>
          <w:szCs w:val="14"/>
          <w:color w:val="auto"/>
        </w:rPr>
      </w:pPr>
    </w:p>
    <w:p>
      <w:pPr>
        <w:jc w:val="both"/>
        <w:ind w:left="340" w:hanging="335"/>
        <w:spacing w:after="0" w:line="270"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364,107 ordinary shares remaining from the ordinary shares purchased in the Private Placement and 453,355 ABSA Warrant Shares shares purchased in the Private Placement and held by Samsara BioCapital, L.P. (“Samsara LP”), and (ii) 364,109 ordinary shares remaining from the ordinary shares purchased in the Private Placement and 453,355 ABSA Warrant Shares from shares purchased in the Private Placement held by Samsara Opportunity Fund, L.P (“Opportunity Fund”).</w:t>
      </w:r>
    </w:p>
    <w:p>
      <w:pPr>
        <w:spacing w:after="0" w:line="136"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Samsara BioCapital GP, LLC (“Samsara GP”) is the general partner of Samsara LP and may be deemed to have voting and investment power over the securities held by Samsara LP.</w:t>
      </w:r>
    </w:p>
    <w:p>
      <w:pPr>
        <w:spacing w:after="0" w:line="178" w:lineRule="exact"/>
        <w:rPr>
          <w:rFonts w:ascii="Times New Roman" w:cs="Times New Roman" w:eastAsia="Times New Roman" w:hAnsi="Times New Roman"/>
          <w:sz w:val="14"/>
          <w:szCs w:val="14"/>
          <w:color w:val="auto"/>
        </w:rPr>
      </w:pPr>
    </w:p>
    <w:p>
      <w:pPr>
        <w:jc w:val="both"/>
        <w:ind w:left="340"/>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Samsara Opportunity Fund GP, LLC (“Samsara Opportunity GP”) is the general partner of Opportunity Fund and may be deemed to have voting and investment power over the securities held by Opportunity Fund. Dr. Akkaraju is the managing member of Samsara GP and Samsara Opportunity GP and has voting and investment power over the shares held by Samsara LP and Opportunity Fund and, accordingly, may be deemed to beneficially own the shares held by Samsara LP and Opportunity Fund. The principal business address of the above persons is 628 Middlefield Rd., Palo Alto, California 94301.</w:t>
      </w:r>
    </w:p>
    <w:p>
      <w:pPr>
        <w:spacing w:after="0" w:line="141" w:lineRule="exact"/>
        <w:rPr>
          <w:rFonts w:ascii="Times New Roman" w:cs="Times New Roman" w:eastAsia="Times New Roman" w:hAnsi="Times New Roman"/>
          <w:sz w:val="14"/>
          <w:szCs w:val="14"/>
          <w:color w:val="auto"/>
        </w:rPr>
      </w:pPr>
    </w:p>
    <w:p>
      <w:pPr>
        <w:ind w:left="340" w:hanging="335"/>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255,985 ordinary shares and 255,985 ABSA Warrant Shares purchased in the Private Placement and held by Nantahala Capital Partners Limited Partnership.</w:t>
      </w:r>
    </w:p>
    <w:p>
      <w:pPr>
        <w:spacing w:after="0" w:line="178" w:lineRule="exact"/>
        <w:rPr>
          <w:rFonts w:ascii="Times New Roman" w:cs="Times New Roman" w:eastAsia="Times New Roman" w:hAnsi="Times New Roman"/>
          <w:sz w:val="14"/>
          <w:szCs w:val="14"/>
          <w:color w:val="auto"/>
        </w:rPr>
      </w:pPr>
    </w:p>
    <w:p>
      <w:pPr>
        <w:jc w:val="both"/>
        <w:ind w:left="34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Nantahala Capital Management, LLC is a Registered Investment Adviser and has been delegated the legal power to vote and/or direct the disposition of such securities on behalf of the selling securityholder as a General Partner, Investment Manager, or Sub-Advisor and would be considered the beneficial owner of such securities. The above shall not be deemed to be an admission by the record owners or the selling securityholder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securityholder. The address for the above referenced entity is 130 Main St., 2nd Floor, New Canaan, CT 06840.</w:t>
      </w:r>
    </w:p>
    <w:p>
      <w:pPr>
        <w:spacing w:after="0" w:line="144" w:lineRule="exact"/>
        <w:rPr>
          <w:rFonts w:ascii="Times New Roman" w:cs="Times New Roman" w:eastAsia="Times New Roman" w:hAnsi="Times New Roman"/>
          <w:sz w:val="14"/>
          <w:szCs w:val="14"/>
          <w:color w:val="auto"/>
        </w:rPr>
      </w:pPr>
    </w:p>
    <w:p>
      <w:pPr>
        <w:ind w:left="340" w:hanging="335"/>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85,901 ordinary shares and 85,901 ABSA Warrant Shares purchased in the Private Placement and held by NCP RFM LP.</w:t>
      </w:r>
    </w:p>
    <w:p>
      <w:pPr>
        <w:spacing w:after="0" w:line="178" w:lineRule="exact"/>
        <w:rPr>
          <w:rFonts w:ascii="Times New Roman" w:cs="Times New Roman" w:eastAsia="Times New Roman" w:hAnsi="Times New Roman"/>
          <w:sz w:val="14"/>
          <w:szCs w:val="14"/>
          <w:color w:val="auto"/>
        </w:rPr>
      </w:pPr>
    </w:p>
    <w:p>
      <w:pPr>
        <w:jc w:val="both"/>
        <w:ind w:left="34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Nantahala Capital Management, LLC is a Registered Investment Adviser and has been delegated the legal power to vote and/or direct the disposition of such securities on behalf of the selling securityholder as a General Partner, Investment Manager, or Sub-Advisor and would be considered the beneficial owner of such securities. The above shall not be deemed to be an admission by the record owners or the selling securityholder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securityholder. The address for the above referenced entity is 130 Main St., 2nd Floor, New Canaan, CT 06840.</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21" w:name="page22"/>
    <w:bookmarkEnd w:id="21"/>
    <w:p>
      <w:pPr>
        <w:ind w:left="340" w:hanging="335"/>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383,482 ordinary shares and 383,482 ABSA Warrant Shares purchased in the Private Placement and held by Blackwell Partners LLC - Series A.</w:t>
      </w:r>
    </w:p>
    <w:p>
      <w:pPr>
        <w:spacing w:after="0" w:line="178" w:lineRule="exact"/>
        <w:rPr>
          <w:rFonts w:ascii="Times New Roman" w:cs="Times New Roman" w:eastAsia="Times New Roman" w:hAnsi="Times New Roman"/>
          <w:sz w:val="14"/>
          <w:szCs w:val="14"/>
          <w:color w:val="auto"/>
        </w:rPr>
      </w:pPr>
    </w:p>
    <w:p>
      <w:pPr>
        <w:jc w:val="both"/>
        <w:ind w:left="34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Nantahala Capital Management, LLC is a Registered Investment Adviser and has been delegated the legal power to vote and/or direct the disposition of such securities on behalf of the selling securityholder as a General Partner, Investment Manager, or Sub-Advisor and would be considered the beneficial owner of such securities. The above shall not be deemed to be an admission by the record owners or the selling securityholder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securityholder. The address for the above referenced entity is 130 Main St., 2nd Floor, New Canaan, CT 06840.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information with respect to the material U.S. Federal Income Tax Considerations for U.S. Holders and the material French tax consequences relating to the purchase, ownership and disposition of any of the securities registered by this prospectus, please refer to the section entitled “Item 10.E: Additional Information – Taxation,” incorporated by reference from our Annual Report on Form 20-F for the fiscal year ended December 31, 2025, filed with the SEC on March 17, 2026, as well as any amendments thereto reflected in our subsequent filings with the SEC, all of which are incorporated by reference herein.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validity of our ordinary shares, including ordinary shares represented by ADSs offered by this prospectus and certain other matters governed by French law will be passed on for us by Jones Day, Paris, France. Cooley LLP, Boston, Massachusetts, will be representing us in regards to certain matters governed by U.S. law in connection with this offering. Any underwriters will be advised about other issues relating to any offering by their own legal counsel.</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of Valneva SE and management’s assessment of the effectiveness of internal control over financial reporting (which is included in Management’s Report on Internal Control over Financial Reporting) incorporated in this Prospectus by reference to the Annual Report on Form 20-F for the year ended December 31, 2025 have been so incorporated in reliance on the report (which contains an adverse opinion on the effectiveness of the Company’s internal control over financial reporting) of Deloitte &amp; Associés (PCAOB ID: 1756) and PricewaterhouseCoopers Audit (PCAOB ID: 1347), independent registered public accounting firms, given on the authority of said firms as experts in auditing and accounting.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offices of Deloitte &amp; Associés are located at 6, place de la Pyramide, 92908 Paris-La Défense Cedex, France.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offices of PricewaterhouseCoopers Audit are located at 63, rue de Villiers, 92208 Neuilly-sur-Seine Cedex, France.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MATERIAL CHANGES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Except as described above or otherwise described in our Annual Report on Form 20-F for the fiscal year ended December 31, 2025 and in our Reports on Form 6-K incorporated by reference into this prospectus, no reportable material changes have occurred since December 31, 2025.</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3"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SERVICE OF PROCESS AND ENFORCEMENT OF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corporation organized under the laws of France. The majority of the members of our Executive Committee and Board of Directors are citizens and residents of countries other than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States, and the majority of our assets are located outside of the United States. We have appointed an agent for service of process in the United States; however, it may be difficult for investors:</w:t>
      </w:r>
    </w:p>
    <w:p>
      <w:pPr>
        <w:spacing w:after="0" w:line="165" w:lineRule="exact"/>
        <w:rPr>
          <w:sz w:val="20"/>
          <w:szCs w:val="20"/>
          <w:color w:val="auto"/>
        </w:rPr>
      </w:pPr>
    </w:p>
    <w:p>
      <w:pPr>
        <w:ind w:left="520" w:right="60" w:hanging="260"/>
        <w:spacing w:after="0" w:line="28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obtain jurisdiction over us or our non-U.S. resident members of the Executive Committee and Board of Directors in U.S. courts in actions predicated on the civil liability provisions of the U.S. federal securities laws;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enforce judgments obtained in such actions against us or our non-U.S. resident members of the Executive Committee and Board of Directors;</w:t>
      </w:r>
    </w:p>
    <w:p>
      <w:pPr>
        <w:spacing w:after="0" w:line="178"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bring an original action in a French court to enforce liabilities based upon the U.S. federal securities laws against us or our non-U.S. resident members of the Executive Committee and Board of Directors; and</w:t>
      </w:r>
    </w:p>
    <w:p>
      <w:pPr>
        <w:spacing w:after="0" w:line="124" w:lineRule="exact"/>
        <w:rPr>
          <w:rFonts w:ascii="Times New Roman" w:cs="Times New Roman" w:eastAsia="Times New Roman" w:hAnsi="Times New Roman"/>
          <w:sz w:val="14"/>
          <w:szCs w:val="14"/>
          <w:color w:val="auto"/>
        </w:rPr>
      </w:pPr>
    </w:p>
    <w:p>
      <w:pPr>
        <w:ind w:left="520" w:right="520" w:hanging="260"/>
        <w:spacing w:after="0" w:line="28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enforce against us or our Executive Committee in non-U.S. courts, including French courts, judgments of U.S. courts predicated upon the civil liability provisions of the U.S. federal securities laws.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requirements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(1) that judgment was rendered by a court having jurisdiction over the dispute (the condition will be met if the dispute is clearly connected to the jurisdiction of the U.S. court and French courts did not have exclusive jurisdiction over the matter), (2) that judgment does not contravene French international public order and public policy, including the right to due process, (3) the U.S. judgment is not tainted with fraud and (4) is not incompatible with a judgment rendered by a French court in the same matter, or with an earlier judgment rendered by a foreign court in the same matter.</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result, the enforcement, by U.S. investors, of any judgments obtained in U.S. courts in civil and commercial matters, including judgments under the U.S. federal securities law against us or members of our Executive Committee and Board of Directors or certain experts named herein who are residents of France or countries other than the United States would be subject to the above conditions.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Finally, there may be doubt as to whether a French court would impose civil liability on us, the members of our Executive Committee and Board of Directors or certain experts named herein in an original action predicated solely upon the U.S. federal securities laws brought in a court of competent jurisdiction in France against us or such members, officers or experts, respectively.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3"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that are applicable to a foreign private issuer. Under the Exchange Act, we file annual reports on Form 20-F and other information with the SEC. We also furnish to the SEC under cover of Form 6-K material information required to be made public in France, filed with and made public by any stock exchange on which we are listed or distributed by us to our securityholders. As a foreign private issuer, we are exempt from, among other things, the rules under the Exchange Act prescribing the furnishing and content of proxy statements and our officers, directors and principal securityholders are exempt from the reporting and short-swing profit recovery provisions contained in Section 16 of the Exchange Act.</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The SEC maintains a web site that contains reports and information statements and other information about issuers, such as us, who file electronically with the SEC. The address of that website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We also maintain a website at </w:t>
      </w:r>
      <w:r>
        <w:rPr>
          <w:rFonts w:ascii="Times New Roman" w:cs="Times New Roman" w:eastAsia="Times New Roman" w:hAnsi="Times New Roman"/>
          <w:sz w:val="14"/>
          <w:szCs w:val="14"/>
          <w:i w:val="1"/>
          <w:iCs w:val="1"/>
          <w:color w:val="auto"/>
        </w:rPr>
        <w:t>www.valneva.com</w:t>
      </w:r>
      <w:r>
        <w:rPr>
          <w:rFonts w:ascii="Times New Roman" w:cs="Times New Roman" w:eastAsia="Times New Roman" w:hAnsi="Times New Roman"/>
          <w:sz w:val="14"/>
          <w:szCs w:val="14"/>
          <w:color w:val="auto"/>
        </w:rPr>
        <w:t xml:space="preserve"> through which you can access our SEC filings. The information set forth on our website is not part of this prospectus.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179"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41">
        <w:r>
          <w:rPr>
            <w:rFonts w:ascii="Times New Roman" w:cs="Times New Roman" w:eastAsia="Times New Roman" w:hAnsi="Times New Roman"/>
            <w:sz w:val="14"/>
            <w:szCs w:val="14"/>
            <w:u w:val="single" w:color="auto"/>
            <w:color w:val="0000EE"/>
          </w:rPr>
          <w:t>Form 20-F</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March 17, 2026;</w:t>
      </w:r>
    </w:p>
    <w:p>
      <w:pPr>
        <w:spacing w:after="0" w:line="17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Reports on Form 6-K filed or furnished to the SEC on </w:t>
      </w:r>
      <w:hyperlink r:id="rId42">
        <w:r>
          <w:rPr>
            <w:rFonts w:ascii="Times New Roman" w:cs="Times New Roman" w:eastAsia="Times New Roman" w:hAnsi="Times New Roman"/>
            <w:sz w:val="14"/>
            <w:szCs w:val="14"/>
            <w:u w:val="single" w:color="auto"/>
            <w:color w:val="0000EE"/>
          </w:rPr>
          <w:t>March 18, 2026</w:t>
        </w:r>
      </w:hyperlink>
      <w:r>
        <w:rPr>
          <w:rFonts w:ascii="Times New Roman" w:cs="Times New Roman" w:eastAsia="Times New Roman" w:hAnsi="Times New Roman"/>
          <w:sz w:val="14"/>
          <w:szCs w:val="14"/>
          <w:color w:val="auto"/>
        </w:rPr>
        <w:t xml:space="preserve">; </w:t>
      </w:r>
      <w:hyperlink r:id="rId43">
        <w:r>
          <w:rPr>
            <w:rFonts w:ascii="Times New Roman" w:cs="Times New Roman" w:eastAsia="Times New Roman" w:hAnsi="Times New Roman"/>
            <w:sz w:val="14"/>
            <w:szCs w:val="14"/>
            <w:u w:val="single" w:color="auto"/>
            <w:color w:val="0000EE"/>
          </w:rPr>
          <w:t>March 23,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including exhibit 99.1 thereto; </w:t>
      </w:r>
      <w:hyperlink r:id="rId44">
        <w:r>
          <w:rPr>
            <w:rFonts w:ascii="Times New Roman" w:cs="Times New Roman" w:eastAsia="Times New Roman" w:hAnsi="Times New Roman"/>
            <w:sz w:val="14"/>
            <w:szCs w:val="14"/>
            <w:u w:val="single" w:color="auto"/>
            <w:color w:val="0000EE"/>
          </w:rPr>
          <w:t>March 26,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including exhibit 99.1 thereto; </w:t>
      </w:r>
      <w:hyperlink r:id="rId45">
        <w:r>
          <w:rPr>
            <w:rFonts w:ascii="Times New Roman" w:cs="Times New Roman" w:eastAsia="Times New Roman" w:hAnsi="Times New Roman"/>
            <w:sz w:val="14"/>
            <w:szCs w:val="14"/>
            <w:u w:val="single" w:color="auto"/>
            <w:color w:val="0000EE"/>
          </w:rPr>
          <w:t>April 30, 2026</w:t>
        </w:r>
      </w:hyperlink>
      <w:r>
        <w:rPr>
          <w:rFonts w:ascii="Times New Roman" w:cs="Times New Roman" w:eastAsia="Times New Roman" w:hAnsi="Times New Roman"/>
          <w:sz w:val="14"/>
          <w:szCs w:val="14"/>
          <w:color w:val="auto"/>
        </w:rPr>
        <w:t xml:space="preserve"> including exhibits 99.1 and 99.2; </w:t>
      </w:r>
      <w:hyperlink r:id="rId46">
        <w:r>
          <w:rPr>
            <w:rFonts w:ascii="Times New Roman" w:cs="Times New Roman" w:eastAsia="Times New Roman" w:hAnsi="Times New Roman"/>
            <w:sz w:val="14"/>
            <w:szCs w:val="14"/>
            <w:u w:val="single" w:color="auto"/>
            <w:color w:val="0000EE"/>
          </w:rPr>
          <w:t>May 5,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including exhibit 99.1 thereto; </w:t>
      </w:r>
      <w:hyperlink r:id="rId47">
        <w:r>
          <w:rPr>
            <w:rFonts w:ascii="Times New Roman" w:cs="Times New Roman" w:eastAsia="Times New Roman" w:hAnsi="Times New Roman"/>
            <w:sz w:val="14"/>
            <w:szCs w:val="14"/>
            <w:u w:val="single" w:color="auto"/>
            <w:color w:val="0000EE"/>
          </w:rPr>
          <w:t>May 13,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including exhibits 99.1 and 99.2 but excluding the section entitled “Financial Outlook” in exhibit 99.1 thereto; and </w:t>
      </w:r>
      <w:hyperlink r:id="rId48">
        <w:r>
          <w:rPr>
            <w:rFonts w:ascii="Times New Roman" w:cs="Times New Roman" w:eastAsia="Times New Roman" w:hAnsi="Times New Roman"/>
            <w:sz w:val="14"/>
            <w:szCs w:val="14"/>
            <w:u w:val="single" w:color="auto"/>
            <w:color w:val="0000EE"/>
          </w:rPr>
          <w:t>June 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including exhibit 99.1 thereto; and</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ordinary shares and ADSs contained in our Registration Statement on </w:t>
      </w:r>
      <w:hyperlink r:id="rId49">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as filed with the SEC under Section 12(b) of the Exchange Act on May 3, 2021, including any amendment or report filed for the purpose of updating such description (File No. 001-40377).</w:t>
      </w:r>
    </w:p>
    <w:p>
      <w:pPr>
        <w:spacing w:after="0" w:line="125" w:lineRule="exact"/>
        <w:rPr>
          <w:rFonts w:ascii="Times New Roman" w:cs="Times New Roman" w:eastAsia="Times New Roman" w:hAnsi="Times New Roman"/>
          <w:sz w:val="14"/>
          <w:szCs w:val="14"/>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the offering of securities under this Registration Statement. In all cases, you should rely on the later information over different information included in this prospectus or any accompanying prospectus supplement.</w:t>
      </w:r>
    </w:p>
    <w:p>
      <w:pPr>
        <w:spacing w:after="0" w:line="136" w:lineRule="exact"/>
        <w:rPr>
          <w:rFonts w:ascii="Times New Roman" w:cs="Times New Roman" w:eastAsia="Times New Roman" w:hAnsi="Times New Roman"/>
          <w:sz w:val="14"/>
          <w:szCs w:val="14"/>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3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Valneva SE</w:t>
      </w:r>
    </w:p>
    <w:p>
      <w:pPr>
        <w:spacing w:after="0" w:line="2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Îlot Saint Joseph Bureaux Convergence</w:t>
      </w:r>
    </w:p>
    <w:p>
      <w:pPr>
        <w:spacing w:after="0" w:line="9"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12T Quai Perrache</w:t>
      </w:r>
    </w:p>
    <w:p>
      <w:pPr>
        <w:spacing w:after="0" w:line="9"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69002 Lyon France</w:t>
      </w:r>
    </w:p>
    <w:p>
      <w:pPr>
        <w:spacing w:after="0" w:line="9"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+33 2 28 07 37 10</w:t>
      </w:r>
    </w:p>
    <w:p>
      <w:pPr>
        <w:spacing w:after="0" w:line="250"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3" w:right="319" w:bottom="1440" w:gutter="0" w:footer="0" w:header="0"/>
        </w:sectPr>
      </w:pPr>
    </w:p>
    <w:bookmarkStart w:id="25" w:name="page26"/>
    <w:bookmarkEnd w:id="25"/>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You may also access these documents on our website, </w:t>
      </w:r>
      <w:r>
        <w:rPr>
          <w:rFonts w:ascii="Times New Roman" w:cs="Times New Roman" w:eastAsia="Times New Roman" w:hAnsi="Times New Roman"/>
          <w:sz w:val="14"/>
          <w:szCs w:val="14"/>
          <w:i w:val="1"/>
          <w:iCs w:val="1"/>
          <w:color w:val="auto"/>
        </w:rPr>
        <w:t>www.valneva.com</w:t>
      </w:r>
      <w:r>
        <w:rPr>
          <w:rFonts w:ascii="Times New Roman" w:cs="Times New Roman" w:eastAsia="Times New Roman" w:hAnsi="Times New Roman"/>
          <w:sz w:val="14"/>
          <w:szCs w:val="14"/>
          <w:color w:val="auto"/>
        </w:rPr>
        <w:t>. The information contained on, or that can be accessed through, our website is not a part of this prospectus. We have included our website address in this prospectus solely as an inactive textual reference.</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3" w:right="31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EXPENSES ASSOCIATED WITH REGISTRATION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is an estimate of the expenses (all of which are to be paid by us) that we may incur in connection with the securities being registered hereby, other than the SEC registration fee and the FINRA filing fee.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2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12,368.47</w:t>
            </w:r>
          </w:p>
        </w:tc>
        <w:tc>
          <w:tcPr>
            <w:tcW w:w="80" w:type="dxa"/>
            <w:vAlign w:val="bottom"/>
            <w:shd w:val="clear" w:color="auto" w:fill="CCEEFF"/>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1700" w:type="dxa"/>
            <w:vAlign w:val="bottom"/>
          </w:tcPr>
          <w:p>
            <w:pPr>
              <w:spacing w:after="0"/>
              <w:rPr>
                <w:sz w:val="14"/>
                <w:szCs w:val="14"/>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170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1700" w:type="dxa"/>
            <w:vAlign w:val="bottom"/>
          </w:tcPr>
          <w:p>
            <w:pPr>
              <w:spacing w:after="0"/>
              <w:rPr>
                <w:sz w:val="14"/>
                <w:szCs w:val="14"/>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1"/>
        </w:trPr>
        <w:tc>
          <w:tcPr>
            <w:tcW w:w="1700" w:type="dxa"/>
            <w:vAlign w:val="bottom"/>
          </w:tcPr>
          <w:p>
            <w:pPr>
              <w:spacing w:after="0"/>
              <w:rPr>
                <w:sz w:val="13"/>
                <w:szCs w:val="13"/>
                <w:color w:val="auto"/>
              </w:rPr>
            </w:pPr>
          </w:p>
        </w:tc>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1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87" w:lineRule="exact"/>
        <w:rPr>
          <w:sz w:val="20"/>
          <w:szCs w:val="20"/>
          <w:color w:val="auto"/>
        </w:rPr>
      </w:pPr>
    </w:p>
    <w:p>
      <w:pPr>
        <w:ind w:left="5580" w:right="3400" w:hanging="5575"/>
        <w:spacing w:after="0" w:line="667" w:lineRule="auto"/>
        <w:tabs>
          <w:tab w:leader="none" w:pos="21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16153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20"/>
          </w:cols>
          <w:pgMar w:left="300" w:top="633" w:right="37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Indemnification of Directors and Officers.</w:t>
      </w:r>
    </w:p>
    <w:p>
      <w:pPr>
        <w:spacing w:after="0" w:line="17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Under French law, provisions of bylaws that limit the liability of directors are prohibited. However, French law allows a </w:t>
      </w:r>
      <w:r>
        <w:rPr>
          <w:rFonts w:ascii="Times New Roman" w:cs="Times New Roman" w:eastAsia="Times New Roman" w:hAnsi="Times New Roman"/>
          <w:sz w:val="14"/>
          <w:szCs w:val="14"/>
          <w:i w:val="1"/>
          <w:iCs w:val="1"/>
          <w:color w:val="auto"/>
        </w:rPr>
        <w:t>Société Européenne</w:t>
      </w:r>
      <w:r>
        <w:rPr>
          <w:rFonts w:ascii="Times New Roman" w:cs="Times New Roman" w:eastAsia="Times New Roman" w:hAnsi="Times New Roman"/>
          <w:sz w:val="14"/>
          <w:szCs w:val="14"/>
          <w:color w:val="auto"/>
        </w:rPr>
        <w:t xml:space="preserve"> to contract for and maintain liability insurance against civil liabilities incurred by any of their directors and officers involved in a third-party action, provided that they acted in good faith and within their capacities as directors or officers of the company. Criminal liability cannot be indemnified under French law, whether directly by the company or through liability insurance.</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maintain liability insurance for the members of our Board of Directors, Chief Executive Officer and Associate Managing Officers, including insurance against liability under the Securities Act of 1933, as amended, and we have entered into agreements with the members of our Board of Directors, Chief Executive Officer and Associate Managing Officers to provide contractual indemnification. With certain exceptions and subject to limitations on indemnification under French law, these agreements will provide for indemnification for damages and expenses including, among other things, attorneys’ fees, judgments, fines and settlement amounts incurred by any of these individuals in any action or proceeding arising out of his or her actions in that capacity.</w:t>
      </w:r>
    </w:p>
    <w:p>
      <w:pPr>
        <w:spacing w:after="0" w:line="1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of the members of our Board of Directors may, through their relationships with their employers or partnerships, be insured and/or indemnified against certain liabilities in their capacity as members of our Board of Directors.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any underwriting agreement we enter into in connection with the sale of ordinary shares, ADSs or warrants being registered hereby, the underwriters will agree to indemnify, under certain conditions, us, members of our Board of Directors, Chief Executive Officer, Associate Managing Officers and persons who control us within the meaning of the Securities Act against certain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Exhibits.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filed with this registration statement or are incorporated herein by reference.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gridSpan w:val="4"/>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9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400" w:type="dxa"/>
            <w:vAlign w:val="bottom"/>
          </w:tcPr>
          <w:p>
            <w:pPr>
              <w:spacing w:after="0"/>
              <w:rPr>
                <w:sz w:val="13"/>
                <w:szCs w:val="13"/>
                <w:color w:val="auto"/>
              </w:rPr>
            </w:pPr>
          </w:p>
        </w:tc>
        <w:tc>
          <w:tcPr>
            <w:tcW w:w="1460" w:type="dxa"/>
            <w:vAlign w:val="bottom"/>
            <w:gridSpan w:val="2"/>
          </w:tcPr>
          <w:p>
            <w:pPr>
              <w:jc w:val="center"/>
              <w:ind w:right="860"/>
              <w:spacing w:after="0" w:line="159"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108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FILE</w:t>
            </w:r>
          </w:p>
        </w:tc>
        <w:tc>
          <w:tcPr>
            <w:tcW w:w="0" w:type="dxa"/>
            <w:vAlign w:val="bottom"/>
          </w:tcPr>
          <w:p>
            <w:pPr>
              <w:spacing w:after="0"/>
              <w:rPr>
                <w:sz w:val="1"/>
                <w:szCs w:val="1"/>
                <w:color w:val="auto"/>
              </w:rPr>
            </w:pPr>
          </w:p>
        </w:tc>
      </w:tr>
      <w:tr>
        <w:trPr>
          <w:trHeight w:val="187"/>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324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400" w:type="dxa"/>
            <w:vAlign w:val="bottom"/>
          </w:tcPr>
          <w:p>
            <w:pPr>
              <w:spacing w:after="0"/>
              <w:rPr>
                <w:sz w:val="16"/>
                <w:szCs w:val="16"/>
                <w:color w:val="auto"/>
              </w:rPr>
            </w:pPr>
          </w:p>
        </w:tc>
        <w:tc>
          <w:tcPr>
            <w:tcW w:w="14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NUMBER</w:t>
            </w:r>
          </w:p>
        </w:tc>
        <w:tc>
          <w:tcPr>
            <w:tcW w:w="1080" w:type="dxa"/>
            <w:vAlign w:val="bottom"/>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0" w:type="dxa"/>
            <w:vAlign w:val="bottom"/>
          </w:tcPr>
          <w:p>
            <w:pPr>
              <w:spacing w:after="0"/>
              <w:rPr>
                <w:sz w:val="1"/>
                <w:szCs w:val="1"/>
                <w:color w:val="auto"/>
              </w:rPr>
            </w:pPr>
          </w:p>
        </w:tc>
      </w:tr>
      <w:tr>
        <w:trPr>
          <w:trHeight w:val="299"/>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3940" w:type="dxa"/>
            <w:vAlign w:val="bottom"/>
            <w:gridSpan w:val="7"/>
          </w:tcPr>
          <w:p>
            <w:pPr>
              <w:spacing w:after="0"/>
              <w:rPr>
                <w:rFonts w:ascii="Times New Roman" w:cs="Times New Roman" w:eastAsia="Times New Roman" w:hAnsi="Times New Roman"/>
                <w:sz w:val="14"/>
                <w:szCs w:val="14"/>
                <w:color w:val="0000EE"/>
              </w:rPr>
            </w:pPr>
            <w:hyperlink r:id="rId53">
              <w:r>
                <w:rPr>
                  <w:rFonts w:ascii="Times New Roman" w:cs="Times New Roman" w:eastAsia="Times New Roman" w:hAnsi="Times New Roman"/>
                  <w:sz w:val="14"/>
                  <w:szCs w:val="14"/>
                  <w:color w:val="0000EE"/>
                </w:rPr>
                <w:t>Articles of Association (status) of the Registrant (English translation)</w:t>
              </w:r>
            </w:hyperlink>
          </w:p>
        </w:tc>
        <w:tc>
          <w:tcPr>
            <w:tcW w:w="580" w:type="dxa"/>
            <w:vAlign w:val="bottom"/>
            <w:gridSpan w:val="4"/>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Form 20-F</w:t>
            </w:r>
          </w:p>
        </w:tc>
        <w:tc>
          <w:tcPr>
            <w:tcW w:w="1000" w:type="dxa"/>
            <w:vAlign w:val="bottom"/>
            <w:gridSpan w:val="2"/>
          </w:tcPr>
          <w:p>
            <w:pPr>
              <w:jc w:val="center"/>
              <w:ind w:left="329"/>
              <w:spacing w:after="0"/>
              <w:rPr>
                <w:rFonts w:ascii="Times New Roman" w:cs="Times New Roman" w:eastAsia="Times New Roman" w:hAnsi="Times New Roman"/>
                <w:sz w:val="14"/>
                <w:szCs w:val="14"/>
                <w:color w:val="0000EE"/>
                <w:w w:val="98"/>
              </w:rPr>
            </w:pPr>
            <w:hyperlink r:id="rId53">
              <w:r>
                <w:rPr>
                  <w:rFonts w:ascii="Times New Roman" w:cs="Times New Roman" w:eastAsia="Times New Roman" w:hAnsi="Times New Roman"/>
                  <w:sz w:val="14"/>
                  <w:szCs w:val="14"/>
                  <w:color w:val="0000EE"/>
                  <w:w w:val="98"/>
                </w:rPr>
                <w:t>001-40377</w:t>
              </w:r>
            </w:hyperlink>
          </w:p>
        </w:tc>
        <w:tc>
          <w:tcPr>
            <w:tcW w:w="860" w:type="dxa"/>
            <w:vAlign w:val="bottom"/>
          </w:tcPr>
          <w:p>
            <w:pPr>
              <w:spacing w:after="0"/>
              <w:rPr>
                <w:sz w:val="24"/>
                <w:szCs w:val="24"/>
                <w:color w:val="auto"/>
              </w:rPr>
            </w:pPr>
          </w:p>
        </w:tc>
        <w:tc>
          <w:tcPr>
            <w:tcW w:w="108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rPr>
              <w:t>1.1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3/17/26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4020" w:type="dxa"/>
            <w:vAlign w:val="bottom"/>
            <w:gridSpan w:val="8"/>
          </w:tcPr>
          <w:p>
            <w:pPr>
              <w:spacing w:after="0"/>
              <w:rPr>
                <w:rFonts w:ascii="Times New Roman" w:cs="Times New Roman" w:eastAsia="Times New Roman" w:hAnsi="Times New Roman"/>
                <w:sz w:val="14"/>
                <w:szCs w:val="14"/>
                <w:color w:val="0000EE"/>
              </w:rPr>
            </w:pPr>
            <w:hyperlink r:id="rId54">
              <w:r>
                <w:rPr>
                  <w:rFonts w:ascii="Times New Roman" w:cs="Times New Roman" w:eastAsia="Times New Roman" w:hAnsi="Times New Roman"/>
                  <w:sz w:val="14"/>
                  <w:szCs w:val="14"/>
                  <w:color w:val="0000EE"/>
                </w:rPr>
                <w:t>Deposit Agreement dated May 10, 2021, by and among the Registrant,</w:t>
              </w:r>
            </w:hyperlink>
          </w:p>
        </w:tc>
        <w:tc>
          <w:tcPr>
            <w:tcW w:w="500" w:type="dxa"/>
            <w:vAlign w:val="bottom"/>
            <w:gridSpan w:val="3"/>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Form F-6</w:t>
            </w:r>
          </w:p>
        </w:tc>
        <w:tc>
          <w:tcPr>
            <w:tcW w:w="1860" w:type="dxa"/>
            <w:vAlign w:val="bottom"/>
            <w:gridSpan w:val="3"/>
          </w:tcPr>
          <w:p>
            <w:pPr>
              <w:jc w:val="center"/>
              <w:ind w:right="460"/>
              <w:spacing w:after="0"/>
              <w:rPr>
                <w:rFonts w:ascii="Times New Roman" w:cs="Times New Roman" w:eastAsia="Times New Roman" w:hAnsi="Times New Roman"/>
                <w:sz w:val="14"/>
                <w:szCs w:val="14"/>
                <w:color w:val="0000EE"/>
              </w:rPr>
            </w:pPr>
            <w:hyperlink r:id="rId54">
              <w:r>
                <w:rPr>
                  <w:rFonts w:ascii="Times New Roman" w:cs="Times New Roman" w:eastAsia="Times New Roman" w:hAnsi="Times New Roman"/>
                  <w:sz w:val="14"/>
                  <w:szCs w:val="14"/>
                  <w:color w:val="0000EE"/>
                </w:rPr>
                <w:t>333-255301</w:t>
              </w:r>
            </w:hyperlink>
          </w:p>
        </w:tc>
        <w:tc>
          <w:tcPr>
            <w:tcW w:w="108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rPr>
              <w:t>99.(A)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4/16/21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00" w:type="dxa"/>
            <w:vAlign w:val="bottom"/>
          </w:tcPr>
          <w:p>
            <w:pPr>
              <w:spacing w:after="0"/>
              <w:rPr>
                <w:sz w:val="13"/>
                <w:szCs w:val="13"/>
                <w:color w:val="auto"/>
              </w:rPr>
            </w:pPr>
          </w:p>
        </w:tc>
        <w:tc>
          <w:tcPr>
            <w:tcW w:w="4520" w:type="dxa"/>
            <w:vAlign w:val="bottom"/>
            <w:gridSpan w:val="11"/>
          </w:tcPr>
          <w:p>
            <w:pPr>
              <w:spacing w:after="0" w:line="150" w:lineRule="exact"/>
              <w:rPr>
                <w:rFonts w:ascii="Times New Roman" w:cs="Times New Roman" w:eastAsia="Times New Roman" w:hAnsi="Times New Roman"/>
                <w:sz w:val="14"/>
                <w:szCs w:val="14"/>
                <w:color w:val="0000EE"/>
              </w:rPr>
            </w:pPr>
            <w:hyperlink r:id="rId54">
              <w:r>
                <w:rPr>
                  <w:rFonts w:ascii="Times New Roman" w:cs="Times New Roman" w:eastAsia="Times New Roman" w:hAnsi="Times New Roman"/>
                  <w:sz w:val="14"/>
                  <w:szCs w:val="14"/>
                  <w:color w:val="0000EE"/>
                </w:rPr>
                <w:t>Citibank, N.A., as the Depositary bank and the holders and beneficial owners</w:t>
              </w:r>
            </w:hyperlink>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4380" w:type="dxa"/>
            <w:vAlign w:val="bottom"/>
            <w:tcBorders>
              <w:top w:val="single" w:sz="8" w:color="0000EE"/>
            </w:tcBorders>
            <w:gridSpan w:val="10"/>
          </w:tcPr>
          <w:p>
            <w:pPr>
              <w:spacing w:after="0" w:line="150" w:lineRule="exact"/>
              <w:rPr>
                <w:rFonts w:ascii="Times New Roman" w:cs="Times New Roman" w:eastAsia="Times New Roman" w:hAnsi="Times New Roman"/>
                <w:sz w:val="14"/>
                <w:szCs w:val="14"/>
                <w:color w:val="0000EE"/>
              </w:rPr>
            </w:pPr>
            <w:hyperlink r:id="rId54">
              <w:r>
                <w:rPr>
                  <w:rFonts w:ascii="Times New Roman" w:cs="Times New Roman" w:eastAsia="Times New Roman" w:hAnsi="Times New Roman"/>
                  <w:sz w:val="14"/>
                  <w:szCs w:val="14"/>
                  <w:color w:val="0000EE"/>
                </w:rPr>
                <w:t>of American Depositary Shares issued thereunder.</w:t>
              </w:r>
            </w:hyperlink>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4520" w:type="dxa"/>
            <w:vAlign w:val="bottom"/>
            <w:gridSpan w:val="11"/>
          </w:tcPr>
          <w:p>
            <w:pPr>
              <w:spacing w:after="0"/>
              <w:rPr>
                <w:rFonts w:ascii="Times New Roman" w:cs="Times New Roman" w:eastAsia="Times New Roman" w:hAnsi="Times New Roman"/>
                <w:sz w:val="14"/>
                <w:szCs w:val="14"/>
                <w:color w:val="0000EE"/>
              </w:rPr>
            </w:pPr>
            <w:hyperlink r:id="rId54">
              <w:r>
                <w:rPr>
                  <w:rFonts w:ascii="Times New Roman" w:cs="Times New Roman" w:eastAsia="Times New Roman" w:hAnsi="Times New Roman"/>
                  <w:sz w:val="14"/>
                  <w:szCs w:val="14"/>
                  <w:color w:val="0000EE"/>
                </w:rPr>
                <w:t>Form of American Depositary Receipt (included in exhibit 4.1).</w:t>
              </w:r>
            </w:hyperlink>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Form F-6</w:t>
            </w:r>
          </w:p>
        </w:tc>
        <w:tc>
          <w:tcPr>
            <w:tcW w:w="1860" w:type="dxa"/>
            <w:vAlign w:val="bottom"/>
            <w:gridSpan w:val="3"/>
          </w:tcPr>
          <w:p>
            <w:pPr>
              <w:jc w:val="center"/>
              <w:ind w:right="460"/>
              <w:spacing w:after="0"/>
              <w:rPr>
                <w:rFonts w:ascii="Times New Roman" w:cs="Times New Roman" w:eastAsia="Times New Roman" w:hAnsi="Times New Roman"/>
                <w:sz w:val="14"/>
                <w:szCs w:val="14"/>
                <w:color w:val="0000EE"/>
              </w:rPr>
            </w:pPr>
            <w:hyperlink r:id="rId54">
              <w:r>
                <w:rPr>
                  <w:rFonts w:ascii="Times New Roman" w:cs="Times New Roman" w:eastAsia="Times New Roman" w:hAnsi="Times New Roman"/>
                  <w:sz w:val="14"/>
                  <w:szCs w:val="14"/>
                  <w:color w:val="0000EE"/>
                </w:rPr>
                <w:t>333-255301</w:t>
              </w:r>
            </w:hyperlink>
          </w:p>
        </w:tc>
        <w:tc>
          <w:tcPr>
            <w:tcW w:w="108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rPr>
              <w:t>99.(A)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4/16/21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4520" w:type="dxa"/>
            <w:vAlign w:val="bottom"/>
            <w:gridSpan w:val="11"/>
          </w:tcPr>
          <w:p>
            <w:pPr>
              <w:spacing w:after="0"/>
              <w:rPr>
                <w:rFonts w:ascii="Times New Roman" w:cs="Times New Roman" w:eastAsia="Times New Roman" w:hAnsi="Times New Roman"/>
                <w:sz w:val="14"/>
                <w:szCs w:val="14"/>
                <w:color w:val="0000EE"/>
              </w:rPr>
            </w:pPr>
            <w:hyperlink r:id="rId55">
              <w:r>
                <w:rPr>
                  <w:rFonts w:ascii="Times New Roman" w:cs="Times New Roman" w:eastAsia="Times New Roman" w:hAnsi="Times New Roman"/>
                  <w:sz w:val="14"/>
                  <w:szCs w:val="14"/>
                  <w:color w:val="0000EE"/>
                </w:rPr>
                <w:t>Form of Registration Rights Agreement by and among the registrant and the</w:t>
              </w:r>
            </w:hyperlink>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Form 6-K</w:t>
            </w:r>
          </w:p>
        </w:tc>
        <w:tc>
          <w:tcPr>
            <w:tcW w:w="1860" w:type="dxa"/>
            <w:vAlign w:val="bottom"/>
            <w:gridSpan w:val="3"/>
          </w:tcPr>
          <w:p>
            <w:pPr>
              <w:jc w:val="center"/>
              <w:ind w:right="460"/>
              <w:spacing w:after="0"/>
              <w:rPr>
                <w:rFonts w:ascii="Times New Roman" w:cs="Times New Roman" w:eastAsia="Times New Roman" w:hAnsi="Times New Roman"/>
                <w:sz w:val="14"/>
                <w:szCs w:val="14"/>
                <w:color w:val="0000EE"/>
              </w:rPr>
            </w:pPr>
            <w:hyperlink r:id="rId55">
              <w:r>
                <w:rPr>
                  <w:rFonts w:ascii="Times New Roman" w:cs="Times New Roman" w:eastAsia="Times New Roman" w:hAnsi="Times New Roman"/>
                  <w:sz w:val="14"/>
                  <w:szCs w:val="14"/>
                  <w:color w:val="0000EE"/>
                </w:rPr>
                <w:t>001-403377</w:t>
              </w:r>
            </w:hyperlink>
          </w:p>
        </w:tc>
        <w:tc>
          <w:tcPr>
            <w:tcW w:w="108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99.2</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4/30/26</w:t>
            </w: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4320" w:type="dxa"/>
            <w:vAlign w:val="bottom"/>
            <w:tcBorders>
              <w:top w:val="single" w:sz="8" w:color="0000EE"/>
            </w:tcBorders>
            <w:gridSpan w:val="9"/>
          </w:tcPr>
          <w:p>
            <w:pPr>
              <w:spacing w:after="0" w:line="150" w:lineRule="exact"/>
              <w:rPr>
                <w:rFonts w:ascii="Times New Roman" w:cs="Times New Roman" w:eastAsia="Times New Roman" w:hAnsi="Times New Roman"/>
                <w:sz w:val="14"/>
                <w:szCs w:val="14"/>
                <w:color w:val="0000EE"/>
              </w:rPr>
            </w:pPr>
            <w:hyperlink r:id="rId55">
              <w:r>
                <w:rPr>
                  <w:rFonts w:ascii="Times New Roman" w:cs="Times New Roman" w:eastAsia="Times New Roman" w:hAnsi="Times New Roman"/>
                  <w:sz w:val="14"/>
                  <w:szCs w:val="14"/>
                  <w:color w:val="0000EE"/>
                </w:rPr>
                <w:t>investors named therein, dated as of April 29, 2026.</w:t>
              </w:r>
            </w:hyperlink>
          </w:p>
        </w:tc>
        <w:tc>
          <w:tcPr>
            <w:tcW w:w="200" w:type="dxa"/>
            <w:vAlign w:val="bottom"/>
            <w:gridSpan w:val="2"/>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4520" w:type="dxa"/>
            <w:vAlign w:val="bottom"/>
            <w:gridSpan w:val="11"/>
          </w:tcPr>
          <w:p>
            <w:pPr>
              <w:spacing w:after="0"/>
              <w:rPr>
                <w:rFonts w:ascii="Times New Roman" w:cs="Times New Roman" w:eastAsia="Times New Roman" w:hAnsi="Times New Roman"/>
                <w:sz w:val="14"/>
                <w:szCs w:val="14"/>
                <w:color w:val="0000EE"/>
              </w:rPr>
            </w:pPr>
            <w:hyperlink r:id="rId55">
              <w:r>
                <w:rPr>
                  <w:rFonts w:ascii="Times New Roman" w:cs="Times New Roman" w:eastAsia="Times New Roman" w:hAnsi="Times New Roman"/>
                  <w:sz w:val="14"/>
                  <w:szCs w:val="14"/>
                  <w:color w:val="0000EE"/>
                </w:rPr>
                <w:t>Form of Securities Purchase Agreement, dated April 29, 2026.</w:t>
              </w:r>
            </w:hyperlink>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Form 6-K</w:t>
            </w:r>
          </w:p>
        </w:tc>
        <w:tc>
          <w:tcPr>
            <w:tcW w:w="1860" w:type="dxa"/>
            <w:vAlign w:val="bottom"/>
            <w:gridSpan w:val="3"/>
          </w:tcPr>
          <w:p>
            <w:pPr>
              <w:jc w:val="center"/>
              <w:ind w:right="460"/>
              <w:spacing w:after="0"/>
              <w:rPr>
                <w:rFonts w:ascii="Times New Roman" w:cs="Times New Roman" w:eastAsia="Times New Roman" w:hAnsi="Times New Roman"/>
                <w:sz w:val="14"/>
                <w:szCs w:val="14"/>
                <w:color w:val="0000EE"/>
              </w:rPr>
            </w:pPr>
            <w:hyperlink r:id="rId55">
              <w:r>
                <w:rPr>
                  <w:rFonts w:ascii="Times New Roman" w:cs="Times New Roman" w:eastAsia="Times New Roman" w:hAnsi="Times New Roman"/>
                  <w:sz w:val="14"/>
                  <w:szCs w:val="14"/>
                  <w:color w:val="0000EE"/>
                </w:rPr>
                <w:t>001-403377</w:t>
              </w:r>
            </w:hyperlink>
          </w:p>
        </w:tc>
        <w:tc>
          <w:tcPr>
            <w:tcW w:w="108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7"/>
              </w:rPr>
              <w:t>99.1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4/30/26</w:t>
            </w:r>
          </w:p>
        </w:tc>
        <w:tc>
          <w:tcPr>
            <w:tcW w:w="0" w:type="dxa"/>
            <w:vAlign w:val="bottom"/>
          </w:tcPr>
          <w:p>
            <w:pPr>
              <w:spacing w:after="0"/>
              <w:rPr>
                <w:sz w:val="1"/>
                <w:szCs w:val="1"/>
                <w:color w:val="auto"/>
              </w:rPr>
            </w:pPr>
          </w:p>
        </w:tc>
      </w:tr>
      <w:tr>
        <w:trPr>
          <w:trHeight w:val="32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35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Opinion of Jones Day.</w:t>
            </w:r>
          </w:p>
        </w:tc>
        <w:tc>
          <w:tcPr>
            <w:tcW w:w="980" w:type="dxa"/>
            <w:vAlign w:val="bottom"/>
            <w:gridSpan w:val="6"/>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II-1</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33" w:right="31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45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Consent of Deloitte &amp; Associés, independent registered public accounting firm.</w:t>
            </w:r>
          </w:p>
        </w:tc>
        <w:tc>
          <w:tcPr>
            <w:tcW w:w="620" w:type="dxa"/>
            <w:vAlign w:val="bottom"/>
          </w:tcPr>
          <w:p>
            <w:pPr>
              <w:spacing w:after="0"/>
              <w:rPr>
                <w:sz w:val="13"/>
                <w:szCs w:val="13"/>
                <w:color w:val="auto"/>
              </w:rPr>
            </w:pPr>
          </w:p>
        </w:tc>
      </w:tr>
      <w:tr>
        <w:trPr>
          <w:trHeight w:val="32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51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Consent of PricewaterhouseCoopers Audit, independent registered public accounting firm.</w:t>
            </w:r>
          </w:p>
        </w:tc>
      </w:tr>
      <w:tr>
        <w:trPr>
          <w:trHeight w:val="32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514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Consent of Jones Day (included in exhibit 5.1).</w:t>
            </w:r>
          </w:p>
        </w:tc>
      </w:tr>
      <w:tr>
        <w:trPr>
          <w:trHeight w:val="20"/>
        </w:trPr>
        <w:tc>
          <w:tcPr>
            <w:tcW w:w="9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32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4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Power of Attorney (included on signature page to registration statement).</w:t>
            </w:r>
          </w:p>
        </w:tc>
        <w:tc>
          <w:tcPr>
            <w:tcW w:w="980" w:type="dxa"/>
            <w:vAlign w:val="bottom"/>
            <w:gridSpan w:val="2"/>
          </w:tcPr>
          <w:p>
            <w:pPr>
              <w:spacing w:after="0"/>
              <w:rPr>
                <w:sz w:val="24"/>
                <w:szCs w:val="24"/>
                <w:color w:val="auto"/>
              </w:rPr>
            </w:pPr>
          </w:p>
        </w:tc>
      </w:tr>
      <w:tr>
        <w:trPr>
          <w:trHeight w:val="320"/>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9"/>
              </w:rPr>
              <w:t>Filing Fee Table</w:t>
            </w:r>
          </w:p>
        </w:tc>
        <w:tc>
          <w:tcPr>
            <w:tcW w:w="4200" w:type="dxa"/>
            <w:vAlign w:val="bottom"/>
            <w:gridSpan w:val="4"/>
          </w:tcPr>
          <w:p>
            <w:pPr>
              <w:spacing w:after="0"/>
              <w:rPr>
                <w:sz w:val="24"/>
                <w:szCs w:val="24"/>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Undertakings.</w:t>
      </w:r>
    </w:p>
    <w:p>
      <w:pPr>
        <w:spacing w:after="0" w:line="181" w:lineRule="exact"/>
        <w:rPr>
          <w:sz w:val="20"/>
          <w:szCs w:val="20"/>
          <w:color w:val="auto"/>
        </w:rPr>
      </w:pPr>
    </w:p>
    <w:p>
      <w:pPr>
        <w:ind w:left="200" w:hanging="195"/>
        <w:spacing w:after="0"/>
        <w:tabs>
          <w:tab w:leader="none" w:pos="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7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8" w:lineRule="exact"/>
        <w:rPr>
          <w:rFonts w:ascii="Times New Roman" w:cs="Times New Roman" w:eastAsia="Times New Roman" w:hAnsi="Times New Roman"/>
          <w:sz w:val="14"/>
          <w:szCs w:val="14"/>
          <w:color w:val="auto"/>
        </w:rPr>
      </w:pPr>
    </w:p>
    <w:p>
      <w:pPr>
        <w:ind w:left="680" w:hanging="165"/>
        <w:spacing w:after="0"/>
        <w:tabs>
          <w:tab w:leader="none" w:pos="680" w:val="left"/>
        </w:tabs>
        <w:numPr>
          <w:ilvl w:val="2"/>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 as amended (the “Securities Act”);</w:t>
      </w:r>
    </w:p>
    <w:p>
      <w:pPr>
        <w:spacing w:after="0" w:line="178" w:lineRule="exact"/>
        <w:rPr>
          <w:rFonts w:ascii="Times New Roman" w:cs="Times New Roman" w:eastAsia="Times New Roman" w:hAnsi="Times New Roman"/>
          <w:sz w:val="14"/>
          <w:szCs w:val="14"/>
          <w:color w:val="auto"/>
        </w:rPr>
      </w:pPr>
    </w:p>
    <w:p>
      <w:pPr>
        <w:jc w:val="both"/>
        <w:ind w:left="520" w:hanging="5"/>
        <w:spacing w:after="0" w:line="261" w:lineRule="auto"/>
        <w:tabs>
          <w:tab w:leader="none" w:pos="728" w:val="left"/>
        </w:tabs>
        <w:numPr>
          <w:ilvl w:val="2"/>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44" w:lineRule="exact"/>
        <w:rPr>
          <w:rFonts w:ascii="Times New Roman" w:cs="Times New Roman" w:eastAsia="Times New Roman" w:hAnsi="Times New Roman"/>
          <w:sz w:val="14"/>
          <w:szCs w:val="14"/>
          <w:color w:val="auto"/>
        </w:rPr>
      </w:pPr>
    </w:p>
    <w:p>
      <w:pPr>
        <w:ind w:left="520" w:hanging="5"/>
        <w:spacing w:after="0" w:line="287" w:lineRule="auto"/>
        <w:tabs>
          <w:tab w:leader="none" w:pos="781" w:val="left"/>
        </w:tabs>
        <w:numPr>
          <w:ilvl w:val="2"/>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3" w:lineRule="exact"/>
        <w:rPr>
          <w:sz w:val="20"/>
          <w:szCs w:val="20"/>
          <w:color w:val="auto"/>
        </w:rPr>
      </w:pPr>
    </w:p>
    <w:p>
      <w:pPr>
        <w:jc w:val="both"/>
        <w:ind w:firstLine="255"/>
        <w:spacing w:after="0" w:line="272"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(a)(1)(ii), and (a)(1)(iii) above do not apply if the information required to be included in a post-effective amendment by those paragraphs is contained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34" w:lineRule="exact"/>
        <w:rPr>
          <w:sz w:val="20"/>
          <w:szCs w:val="20"/>
          <w:color w:val="auto"/>
        </w:rPr>
      </w:pPr>
    </w:p>
    <w:p>
      <w:pPr>
        <w:ind w:left="260"/>
        <w:spacing w:after="0" w:line="287" w:lineRule="auto"/>
        <w:tabs>
          <w:tab w:leader="none" w:pos="46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4"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78" w:lineRule="exact"/>
        <w:rPr>
          <w:rFonts w:ascii="Times New Roman" w:cs="Times New Roman" w:eastAsia="Times New Roman" w:hAnsi="Times New Roman"/>
          <w:sz w:val="14"/>
          <w:szCs w:val="14"/>
          <w:color w:val="auto"/>
        </w:rPr>
      </w:pPr>
    </w:p>
    <w:p>
      <w:pPr>
        <w:jc w:val="both"/>
        <w:ind w:left="260"/>
        <w:spacing w:after="0" w:line="259" w:lineRule="auto"/>
        <w:tabs>
          <w:tab w:leader="none" w:pos="46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48" w:right="319" w:bottom="1440" w:gutter="0" w:footer="0" w:header="0"/>
        </w:sectPr>
      </w:pPr>
    </w:p>
    <w:bookmarkStart w:id="29" w:name="page30"/>
    <w:bookmarkEnd w:id="29"/>
    <w:p>
      <w:pPr>
        <w:ind w:left="460" w:hanging="200"/>
        <w:spacing w:after="0"/>
        <w:tabs>
          <w:tab w:leader="none" w:pos="4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78" w:lineRule="exact"/>
        <w:rPr>
          <w:rFonts w:ascii="Times New Roman" w:cs="Times New Roman" w:eastAsia="Times New Roman" w:hAnsi="Times New Roman"/>
          <w:sz w:val="14"/>
          <w:szCs w:val="14"/>
          <w:color w:val="auto"/>
        </w:rPr>
      </w:pPr>
    </w:p>
    <w:p>
      <w:pPr>
        <w:ind w:left="520" w:hanging="5"/>
        <w:spacing w:after="0" w:line="287" w:lineRule="auto"/>
        <w:tabs>
          <w:tab w:leader="none" w:pos="702"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4" w:lineRule="exact"/>
        <w:rPr>
          <w:rFonts w:ascii="Times New Roman" w:cs="Times New Roman" w:eastAsia="Times New Roman" w:hAnsi="Times New Roman"/>
          <w:sz w:val="14"/>
          <w:szCs w:val="14"/>
          <w:color w:val="auto"/>
        </w:rPr>
      </w:pPr>
    </w:p>
    <w:p>
      <w:pPr>
        <w:jc w:val="both"/>
        <w:ind w:left="520" w:hanging="5"/>
        <w:spacing w:after="0" w:line="257" w:lineRule="auto"/>
        <w:tabs>
          <w:tab w:leader="none" w:pos="73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7"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w:t>
      </w:r>
    </w:p>
    <w:p>
      <w:pPr>
        <w:spacing w:after="0" w:line="17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6" w:lineRule="exact"/>
        <w:rPr>
          <w:sz w:val="20"/>
          <w:szCs w:val="20"/>
          <w:color w:val="auto"/>
        </w:rPr>
      </w:pPr>
    </w:p>
    <w:p>
      <w:pPr>
        <w:ind w:left="680" w:hanging="165"/>
        <w:spacing w:after="0"/>
        <w:tabs>
          <w:tab w:leader="none" w:pos="6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78" w:lineRule="exact"/>
        <w:rPr>
          <w:rFonts w:ascii="Times New Roman" w:cs="Times New Roman" w:eastAsia="Times New Roman" w:hAnsi="Times New Roman"/>
          <w:sz w:val="14"/>
          <w:szCs w:val="14"/>
          <w:color w:val="auto"/>
        </w:rPr>
      </w:pPr>
    </w:p>
    <w:p>
      <w:pPr>
        <w:ind w:left="720" w:hanging="205"/>
        <w:spacing w:after="0"/>
        <w:tabs>
          <w:tab w:leader="none" w:pos="7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78" w:lineRule="exact"/>
        <w:rPr>
          <w:rFonts w:ascii="Times New Roman" w:cs="Times New Roman" w:eastAsia="Times New Roman" w:hAnsi="Times New Roman"/>
          <w:sz w:val="14"/>
          <w:szCs w:val="14"/>
          <w:color w:val="auto"/>
        </w:rPr>
      </w:pPr>
    </w:p>
    <w:p>
      <w:pPr>
        <w:ind w:left="520" w:hanging="5"/>
        <w:spacing w:after="0" w:line="287" w:lineRule="auto"/>
        <w:tabs>
          <w:tab w:leader="none" w:pos="769"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4" w:lineRule="exact"/>
        <w:rPr>
          <w:rFonts w:ascii="Times New Roman" w:cs="Times New Roman" w:eastAsia="Times New Roman" w:hAnsi="Times New Roman"/>
          <w:sz w:val="14"/>
          <w:szCs w:val="14"/>
          <w:color w:val="auto"/>
        </w:rPr>
      </w:pPr>
    </w:p>
    <w:p>
      <w:pPr>
        <w:ind w:left="740" w:hanging="225"/>
        <w:spacing w:after="0"/>
        <w:tabs>
          <w:tab w:leader="none" w:pos="7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8" w:lineRule="exact"/>
        <w:rPr>
          <w:rFonts w:ascii="Times New Roman" w:cs="Times New Roman" w:eastAsia="Times New Roman" w:hAnsi="Times New Roman"/>
          <w:sz w:val="14"/>
          <w:szCs w:val="14"/>
          <w:color w:val="auto"/>
        </w:rPr>
      </w:pPr>
    </w:p>
    <w:p>
      <w:pPr>
        <w:jc w:val="both"/>
        <w:ind w:left="260"/>
        <w:spacing w:after="0" w:line="270" w:lineRule="auto"/>
        <w:tabs>
          <w:tab w:leader="none" w:pos="46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30" w:name="page31"/>
    <w:bookmarkEnd w:id="30"/>
    <w:p>
      <w:pPr>
        <w:jc w:val="both"/>
        <w:ind w:firstLine="5"/>
        <w:spacing w:after="0" w:line="260" w:lineRule="auto"/>
        <w:tabs>
          <w:tab w:leader="none" w:pos="20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on June 4, 2026.</w:t>
      </w:r>
    </w:p>
    <w:p>
      <w:pPr>
        <w:spacing w:after="0" w:line="123" w:lineRule="exact"/>
        <w:rPr>
          <w:sz w:val="20"/>
          <w:szCs w:val="20"/>
          <w:color w:val="auto"/>
        </w:rPr>
      </w:pPr>
    </w:p>
    <w:tbl>
      <w:tblPr>
        <w:tblLayout w:type="fixed"/>
        <w:tblInd w:w="420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VALNEVA SE</w:t>
            </w:r>
          </w:p>
        </w:tc>
      </w:tr>
      <w:tr>
        <w:trPr>
          <w:trHeight w:val="340"/>
        </w:trPr>
        <w:tc>
          <w:tcPr>
            <w:tcW w:w="324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Thomas Lingelbach</w:t>
            </w:r>
          </w:p>
        </w:tc>
      </w:tr>
      <w:tr>
        <w:trPr>
          <w:trHeight w:val="146"/>
        </w:trPr>
        <w:tc>
          <w:tcPr>
            <w:tcW w:w="3240" w:type="dxa"/>
            <w:vAlign w:val="bottom"/>
          </w:tcPr>
          <w:p>
            <w:pPr>
              <w:ind w:left="2580"/>
              <w:spacing w:after="0" w:line="147" w:lineRule="exact"/>
              <w:rPr>
                <w:sz w:val="20"/>
                <w:szCs w:val="20"/>
                <w:color w:val="auto"/>
              </w:rPr>
            </w:pPr>
            <w:r>
              <w:rPr>
                <w:rFonts w:ascii="Times New Roman" w:cs="Times New Roman" w:eastAsia="Times New Roman" w:hAnsi="Times New Roman"/>
                <w:sz w:val="14"/>
                <w:szCs w:val="14"/>
                <w:color w:val="auto"/>
              </w:rPr>
              <w:t>Name:</w:t>
            </w:r>
          </w:p>
        </w:tc>
        <w:tc>
          <w:tcPr>
            <w:tcW w:w="38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Thomas Lingelbach</w:t>
            </w:r>
          </w:p>
        </w:tc>
      </w:tr>
      <w:tr>
        <w:trPr>
          <w:trHeight w:val="184"/>
        </w:trPr>
        <w:tc>
          <w:tcPr>
            <w:tcW w:w="324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361"/>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POWER OF ATTORNEY AND SIGNATURES</w:t>
            </w:r>
          </w:p>
        </w:tc>
        <w:tc>
          <w:tcPr>
            <w:tcW w:w="3840" w:type="dxa"/>
            <w:vAlign w:val="bottom"/>
          </w:tcPr>
          <w:p>
            <w:pPr>
              <w:spacing w:after="0"/>
              <w:rPr>
                <w:sz w:val="24"/>
                <w:szCs w:val="24"/>
                <w:color w:val="auto"/>
              </w:rPr>
            </w:pPr>
          </w:p>
        </w:tc>
      </w:tr>
    </w:tbl>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the undersigned members of the Board of Directors and authorized representative of Valneva SE, hereby severally constitute and appoint Thomas Lingelbach and Peter Bühler, and each of them singly, our true and lawful attorneys with full power to any of them, and to each of them singly, to sign for us and in our names in the capacities indicated below the Registration Statement on Form F-3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members of the Board of Directors to enable Valneva SE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3"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6"/>
        </w:trPr>
        <w:tc>
          <w:tcPr>
            <w:tcW w:w="3440" w:type="dxa"/>
            <w:vAlign w:val="bottom"/>
            <w:tcBorders>
              <w:bottom w:val="single" w:sz="8" w:color="auto"/>
            </w:tcBorders>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5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30"/>
        </w:trPr>
        <w:tc>
          <w:tcPr>
            <w:tcW w:w="3440" w:type="dxa"/>
            <w:vAlign w:val="bottom"/>
            <w:tcBorders>
              <w:bottom w:val="single" w:sz="8" w:color="auto"/>
            </w:tcBorders>
          </w:tcPr>
          <w:p>
            <w:pPr>
              <w:jc w:val="center"/>
              <w:ind w:left="1009"/>
              <w:spacing w:after="0"/>
              <w:rPr>
                <w:sz w:val="20"/>
                <w:szCs w:val="20"/>
                <w:color w:val="auto"/>
              </w:rPr>
            </w:pPr>
            <w:r>
              <w:rPr>
                <w:rFonts w:ascii="Times New Roman" w:cs="Times New Roman" w:eastAsia="Times New Roman" w:hAnsi="Times New Roman"/>
                <w:sz w:val="14"/>
                <w:szCs w:val="14"/>
                <w:i w:val="1"/>
                <w:iCs w:val="1"/>
                <w:color w:val="auto"/>
              </w:rPr>
              <w:t>/s/ Thomas Lingelbach</w:t>
            </w:r>
          </w:p>
        </w:tc>
        <w:tc>
          <w:tcPr>
            <w:tcW w:w="10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Chairman of the Executive Committee, President, Chief Executive Officer</w:t>
            </w:r>
          </w:p>
        </w:tc>
        <w:tc>
          <w:tcPr>
            <w:tcW w:w="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4, 2026</w:t>
            </w:r>
          </w:p>
        </w:tc>
      </w:tr>
      <w:tr>
        <w:trPr>
          <w:trHeight w:val="175"/>
        </w:trPr>
        <w:tc>
          <w:tcPr>
            <w:tcW w:w="344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Thomas Lingelbach</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6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25"/>
        </w:trPr>
        <w:tc>
          <w:tcPr>
            <w:tcW w:w="3440" w:type="dxa"/>
            <w:vAlign w:val="bottom"/>
            <w:tcBorders>
              <w:bottom w:val="single" w:sz="8" w:color="auto"/>
            </w:tcBorders>
          </w:tcPr>
          <w:p>
            <w:pPr>
              <w:jc w:val="center"/>
              <w:ind w:left="1009"/>
              <w:spacing w:after="0"/>
              <w:rPr>
                <w:sz w:val="20"/>
                <w:szCs w:val="20"/>
                <w:color w:val="auto"/>
              </w:rPr>
            </w:pPr>
            <w:r>
              <w:rPr>
                <w:rFonts w:ascii="Times New Roman" w:cs="Times New Roman" w:eastAsia="Times New Roman" w:hAnsi="Times New Roman"/>
                <w:sz w:val="14"/>
                <w:szCs w:val="14"/>
                <w:i w:val="1"/>
                <w:iCs w:val="1"/>
                <w:color w:val="auto"/>
                <w:w w:val="99"/>
              </w:rPr>
              <w:t>/s/ Peter Bühler</w:t>
            </w:r>
          </w:p>
        </w:tc>
        <w:tc>
          <w:tcPr>
            <w:tcW w:w="10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Chief Financial Officer</w:t>
            </w:r>
          </w:p>
        </w:tc>
        <w:tc>
          <w:tcPr>
            <w:tcW w:w="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4, 2026</w:t>
            </w:r>
          </w:p>
        </w:tc>
      </w:tr>
      <w:tr>
        <w:trPr>
          <w:trHeight w:val="175"/>
        </w:trPr>
        <w:tc>
          <w:tcPr>
            <w:tcW w:w="344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Peter Bühler</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6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 and Principal Accounting Officer</w:t>
            </w: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25"/>
        </w:trPr>
        <w:tc>
          <w:tcPr>
            <w:tcW w:w="3440" w:type="dxa"/>
            <w:vAlign w:val="bottom"/>
            <w:tcBorders>
              <w:bottom w:val="single" w:sz="8" w:color="auto"/>
            </w:tcBorders>
          </w:tcPr>
          <w:p>
            <w:pPr>
              <w:jc w:val="center"/>
              <w:ind w:left="1029"/>
              <w:spacing w:after="0"/>
              <w:rPr>
                <w:sz w:val="20"/>
                <w:szCs w:val="20"/>
                <w:color w:val="auto"/>
              </w:rPr>
            </w:pPr>
            <w:r>
              <w:rPr>
                <w:rFonts w:ascii="Times New Roman" w:cs="Times New Roman" w:eastAsia="Times New Roman" w:hAnsi="Times New Roman"/>
                <w:sz w:val="14"/>
                <w:szCs w:val="14"/>
                <w:i w:val="1"/>
                <w:iCs w:val="1"/>
                <w:color w:val="auto"/>
              </w:rPr>
              <w:t>/s/ Anne-Marie Graffin</w:t>
            </w:r>
          </w:p>
        </w:tc>
        <w:tc>
          <w:tcPr>
            <w:tcW w:w="10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Chair of the Board of Directors</w:t>
            </w:r>
          </w:p>
        </w:tc>
        <w:tc>
          <w:tcPr>
            <w:tcW w:w="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4, 2026</w:t>
            </w:r>
          </w:p>
        </w:tc>
      </w:tr>
      <w:tr>
        <w:trPr>
          <w:trHeight w:val="175"/>
        </w:trPr>
        <w:tc>
          <w:tcPr>
            <w:tcW w:w="344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Anne-Marie Graffin</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25"/>
        </w:trPr>
        <w:tc>
          <w:tcPr>
            <w:tcW w:w="3440" w:type="dxa"/>
            <w:vAlign w:val="bottom"/>
            <w:tcBorders>
              <w:bottom w:val="single" w:sz="8" w:color="auto"/>
            </w:tcBorders>
          </w:tcPr>
          <w:p>
            <w:pPr>
              <w:jc w:val="center"/>
              <w:ind w:left="1009"/>
              <w:spacing w:after="0"/>
              <w:rPr>
                <w:sz w:val="20"/>
                <w:szCs w:val="20"/>
                <w:color w:val="auto"/>
              </w:rPr>
            </w:pPr>
            <w:r>
              <w:rPr>
                <w:rFonts w:ascii="Times New Roman" w:cs="Times New Roman" w:eastAsia="Times New Roman" w:hAnsi="Times New Roman"/>
                <w:sz w:val="14"/>
                <w:szCs w:val="14"/>
                <w:i w:val="1"/>
                <w:iCs w:val="1"/>
                <w:color w:val="auto"/>
                <w:w w:val="99"/>
              </w:rPr>
              <w:t>/s/ James Sulat</w:t>
            </w:r>
          </w:p>
        </w:tc>
        <w:tc>
          <w:tcPr>
            <w:tcW w:w="10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Vice Chair of the Board of Directors</w:t>
            </w:r>
          </w:p>
        </w:tc>
        <w:tc>
          <w:tcPr>
            <w:tcW w:w="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4, 2026</w:t>
            </w:r>
          </w:p>
        </w:tc>
      </w:tr>
      <w:tr>
        <w:trPr>
          <w:trHeight w:val="175"/>
        </w:trPr>
        <w:tc>
          <w:tcPr>
            <w:tcW w:w="344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James Sulat</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25"/>
        </w:trPr>
        <w:tc>
          <w:tcPr>
            <w:tcW w:w="3440" w:type="dxa"/>
            <w:vAlign w:val="bottom"/>
            <w:tcBorders>
              <w:bottom w:val="single" w:sz="8" w:color="auto"/>
            </w:tcBorders>
          </w:tcPr>
          <w:p>
            <w:pPr>
              <w:jc w:val="center"/>
              <w:ind w:left="1009"/>
              <w:spacing w:after="0"/>
              <w:rPr>
                <w:sz w:val="20"/>
                <w:szCs w:val="20"/>
                <w:color w:val="auto"/>
              </w:rPr>
            </w:pPr>
            <w:r>
              <w:rPr>
                <w:rFonts w:ascii="Times New Roman" w:cs="Times New Roman" w:eastAsia="Times New Roman" w:hAnsi="Times New Roman"/>
                <w:sz w:val="14"/>
                <w:szCs w:val="14"/>
                <w:i w:val="1"/>
                <w:iCs w:val="1"/>
                <w:color w:val="auto"/>
              </w:rPr>
              <w:t>/s/ James Connolly</w:t>
            </w:r>
          </w:p>
        </w:tc>
        <w:tc>
          <w:tcPr>
            <w:tcW w:w="10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Member of the Board of Directors</w:t>
            </w:r>
          </w:p>
        </w:tc>
        <w:tc>
          <w:tcPr>
            <w:tcW w:w="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4, 2026</w:t>
            </w:r>
          </w:p>
        </w:tc>
      </w:tr>
      <w:tr>
        <w:trPr>
          <w:trHeight w:val="175"/>
        </w:trPr>
        <w:tc>
          <w:tcPr>
            <w:tcW w:w="344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James Connolly</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25"/>
        </w:trPr>
        <w:tc>
          <w:tcPr>
            <w:tcW w:w="3440" w:type="dxa"/>
            <w:vAlign w:val="bottom"/>
            <w:tcBorders>
              <w:bottom w:val="single" w:sz="8" w:color="auto"/>
            </w:tcBorders>
          </w:tcPr>
          <w:p>
            <w:pPr>
              <w:jc w:val="center"/>
              <w:ind w:left="1029"/>
              <w:spacing w:after="0"/>
              <w:rPr>
                <w:sz w:val="20"/>
                <w:szCs w:val="20"/>
                <w:color w:val="auto"/>
              </w:rPr>
            </w:pPr>
            <w:r>
              <w:rPr>
                <w:rFonts w:ascii="Times New Roman" w:cs="Times New Roman" w:eastAsia="Times New Roman" w:hAnsi="Times New Roman"/>
                <w:sz w:val="14"/>
                <w:szCs w:val="14"/>
                <w:i w:val="1"/>
                <w:iCs w:val="1"/>
                <w:color w:val="auto"/>
              </w:rPr>
              <w:t>/s/ Danièle Guyot-Caparros</w:t>
            </w:r>
          </w:p>
        </w:tc>
        <w:tc>
          <w:tcPr>
            <w:tcW w:w="10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Member of the Board of Directors</w:t>
            </w:r>
          </w:p>
        </w:tc>
        <w:tc>
          <w:tcPr>
            <w:tcW w:w="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4, 2026</w:t>
            </w:r>
          </w:p>
        </w:tc>
      </w:tr>
      <w:tr>
        <w:trPr>
          <w:trHeight w:val="175"/>
        </w:trPr>
        <w:tc>
          <w:tcPr>
            <w:tcW w:w="344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Danièle Guyot-Caparros</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25"/>
        </w:trPr>
        <w:tc>
          <w:tcPr>
            <w:tcW w:w="3440" w:type="dxa"/>
            <w:vAlign w:val="bottom"/>
            <w:tcBorders>
              <w:bottom w:val="single" w:sz="8" w:color="auto"/>
            </w:tcBorders>
          </w:tcPr>
          <w:p>
            <w:pPr>
              <w:jc w:val="center"/>
              <w:ind w:left="1009"/>
              <w:spacing w:after="0"/>
              <w:rPr>
                <w:sz w:val="20"/>
                <w:szCs w:val="20"/>
                <w:color w:val="auto"/>
              </w:rPr>
            </w:pPr>
            <w:r>
              <w:rPr>
                <w:rFonts w:ascii="Times New Roman" w:cs="Times New Roman" w:eastAsia="Times New Roman" w:hAnsi="Times New Roman"/>
                <w:sz w:val="14"/>
                <w:szCs w:val="14"/>
                <w:i w:val="1"/>
                <w:iCs w:val="1"/>
                <w:color w:val="auto"/>
              </w:rPr>
              <w:t>/s/ Kathrin Jansen</w:t>
            </w:r>
          </w:p>
        </w:tc>
        <w:tc>
          <w:tcPr>
            <w:tcW w:w="10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Member of the Board of Directors</w:t>
            </w:r>
          </w:p>
        </w:tc>
        <w:tc>
          <w:tcPr>
            <w:tcW w:w="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4, 2026</w:t>
            </w:r>
          </w:p>
        </w:tc>
      </w:tr>
      <w:tr>
        <w:trPr>
          <w:trHeight w:val="175"/>
        </w:trPr>
        <w:tc>
          <w:tcPr>
            <w:tcW w:w="344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Kathrin Jansen</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25"/>
        </w:trPr>
        <w:tc>
          <w:tcPr>
            <w:tcW w:w="3440" w:type="dxa"/>
            <w:vAlign w:val="bottom"/>
            <w:tcBorders>
              <w:bottom w:val="single" w:sz="8" w:color="auto"/>
            </w:tcBorders>
          </w:tcPr>
          <w:p>
            <w:pPr>
              <w:jc w:val="center"/>
              <w:ind w:left="1029"/>
              <w:spacing w:after="0"/>
              <w:rPr>
                <w:sz w:val="20"/>
                <w:szCs w:val="20"/>
                <w:color w:val="auto"/>
              </w:rPr>
            </w:pPr>
            <w:r>
              <w:rPr>
                <w:rFonts w:ascii="Times New Roman" w:cs="Times New Roman" w:eastAsia="Times New Roman" w:hAnsi="Times New Roman"/>
                <w:sz w:val="14"/>
                <w:szCs w:val="14"/>
                <w:i w:val="1"/>
                <w:iCs w:val="1"/>
                <w:color w:val="auto"/>
              </w:rPr>
              <w:t>/s/ Gerd Zettlmeissl</w:t>
            </w:r>
          </w:p>
        </w:tc>
        <w:tc>
          <w:tcPr>
            <w:tcW w:w="10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Member of the Board of Directors</w:t>
            </w:r>
          </w:p>
        </w:tc>
        <w:tc>
          <w:tcPr>
            <w:tcW w:w="2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4, 2026</w:t>
            </w:r>
          </w:p>
        </w:tc>
      </w:tr>
      <w:tr>
        <w:trPr>
          <w:trHeight w:val="177"/>
        </w:trPr>
        <w:tc>
          <w:tcPr>
            <w:tcW w:w="3440" w:type="dxa"/>
            <w:vAlign w:val="bottom"/>
          </w:tcPr>
          <w:p>
            <w:pPr>
              <w:jc w:val="center"/>
              <w:ind w:left="1009"/>
              <w:spacing w:after="0"/>
              <w:rPr>
                <w:sz w:val="20"/>
                <w:szCs w:val="20"/>
                <w:color w:val="auto"/>
              </w:rPr>
            </w:pPr>
            <w:r>
              <w:rPr>
                <w:rFonts w:ascii="Times New Roman" w:cs="Times New Roman" w:eastAsia="Times New Roman" w:hAnsi="Times New Roman"/>
                <w:sz w:val="14"/>
                <w:szCs w:val="14"/>
                <w:i w:val="1"/>
                <w:iCs w:val="1"/>
                <w:color w:val="auto"/>
                <w:w w:val="98"/>
              </w:rPr>
              <w:t>Gerd Zettlmeissl</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23"/>
        </w:trPr>
        <w:tc>
          <w:tcPr>
            <w:tcW w:w="3440" w:type="dxa"/>
            <w:vAlign w:val="bottom"/>
          </w:tcPr>
          <w:p>
            <w:pPr>
              <w:spacing w:after="0"/>
              <w:rPr>
                <w:sz w:val="24"/>
                <w:szCs w:val="24"/>
                <w:color w:val="auto"/>
              </w:rPr>
            </w:pPr>
          </w:p>
        </w:tc>
        <w:tc>
          <w:tcPr>
            <w:tcW w:w="59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SIGNATURE OF AUTHORIZED U.S. REPRESENTATIVE</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Securities Act of 1933, as amended, the undersigned, the duly authorized representative in the United States of Valneva SE, has signed this registration statement on June 4, 2026.</w:t>
      </w:r>
    </w:p>
    <w:p>
      <w:pPr>
        <w:spacing w:after="0" w:line="177" w:lineRule="exact"/>
        <w:rPr>
          <w:sz w:val="20"/>
          <w:szCs w:val="20"/>
          <w:color w:val="auto"/>
        </w:rPr>
      </w:pPr>
    </w:p>
    <w:tbl>
      <w:tblPr>
        <w:tblLayout w:type="fixed"/>
        <w:tblInd w:w="790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Valneva USA, Inc.</w:t>
            </w:r>
          </w:p>
        </w:tc>
      </w:tr>
      <w:tr>
        <w:trPr>
          <w:trHeight w:val="34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Thomas Lingelbach</w:t>
            </w:r>
          </w:p>
        </w:tc>
      </w:tr>
      <w:tr>
        <w:trPr>
          <w:trHeight w:val="146"/>
        </w:trPr>
        <w:tc>
          <w:tcPr>
            <w:tcW w:w="4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Name:</w:t>
            </w:r>
          </w:p>
        </w:tc>
        <w:tc>
          <w:tcPr>
            <w:tcW w:w="29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Thomas Lingelbach</w:t>
            </w:r>
          </w:p>
        </w:tc>
      </w:t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3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193675</wp:posOffset>
            </wp:positionH>
            <wp:positionV relativeFrom="page">
              <wp:posOffset>196850</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t>Valneva SE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124460</wp:posOffset>
            </wp:positionV>
            <wp:extent cx="2562225" cy="829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2562225" cy="82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June 4,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Valneva 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Îlot Saint Joseph Bureaux Convergence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12T Quai Perrache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69002 Lyon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France</w:t>
      </w:r>
    </w:p>
    <w:p>
      <w:pPr>
        <w:spacing w:after="0" w:line="165"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Registration Statement on Form F-3 filed by Valneva 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9" w:lineRule="exact"/>
        <w:rPr>
          <w:sz w:val="20"/>
          <w:szCs w:val="20"/>
          <w:color w:val="auto"/>
        </w:rPr>
      </w:pPr>
    </w:p>
    <w:p>
      <w:pPr>
        <w:ind w:right="80" w:firstLine="510"/>
        <w:spacing w:after="0" w:line="259" w:lineRule="auto"/>
        <w:rPr>
          <w:sz w:val="20"/>
          <w:szCs w:val="20"/>
          <w:color w:val="auto"/>
        </w:rPr>
      </w:pPr>
      <w:r>
        <w:rPr>
          <w:rFonts w:ascii="Times New Roman" w:cs="Times New Roman" w:eastAsia="Times New Roman" w:hAnsi="Times New Roman"/>
          <w:sz w:val="14"/>
          <w:szCs w:val="14"/>
          <w:color w:val="auto"/>
        </w:rPr>
        <w:t>We are acting as special French counsel for Valneva SE, a European Company (Societas Europaea, or SE)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registration for resale, from time to time, by the selling securityholders identified in the Registration Statement (as defined below), of up to 31,787,634 ordinary shares, €0.15 nominal value per share, of the Company (the “</w:t>
      </w:r>
      <w:r>
        <w:rPr>
          <w:rFonts w:ascii="Times New Roman" w:cs="Times New Roman" w:eastAsia="Times New Roman" w:hAnsi="Times New Roman"/>
          <w:sz w:val="14"/>
          <w:szCs w:val="14"/>
          <w:u w:val="single" w:color="auto"/>
          <w:color w:val="auto"/>
        </w:rPr>
        <w:t>Resale Shares</w:t>
      </w:r>
      <w:r>
        <w:rPr>
          <w:rFonts w:ascii="Times New Roman" w:cs="Times New Roman" w:eastAsia="Times New Roman" w:hAnsi="Times New Roman"/>
          <w:sz w:val="14"/>
          <w:szCs w:val="14"/>
          <w:color w:val="auto"/>
        </w:rPr>
        <w:t>”), consisting of (i) 15,893,817 ordinary shares issued and outstanding as of the date hereof (the “</w:t>
      </w:r>
      <w:r>
        <w:rPr>
          <w:rFonts w:ascii="Times New Roman" w:cs="Times New Roman" w:eastAsia="Times New Roman" w:hAnsi="Times New Roman"/>
          <w:sz w:val="14"/>
          <w:szCs w:val="14"/>
          <w:u w:val="single" w:color="auto"/>
          <w:color w:val="auto"/>
        </w:rPr>
        <w:t>Offered Shares</w:t>
      </w:r>
      <w:r>
        <w:rPr>
          <w:rFonts w:ascii="Times New Roman" w:cs="Times New Roman" w:eastAsia="Times New Roman" w:hAnsi="Times New Roman"/>
          <w:sz w:val="14"/>
          <w:szCs w:val="14"/>
          <w:color w:val="auto"/>
        </w:rPr>
        <w:t>”) and (ii) 15,893,817 ordinary shares issuable upon exercise of warrants to purchase ordinary shares issued by the Company on April 29, 2026 (the “</w:t>
      </w:r>
      <w:r>
        <w:rPr>
          <w:rFonts w:ascii="Times New Roman" w:cs="Times New Roman" w:eastAsia="Times New Roman" w:hAnsi="Times New Roman"/>
          <w:sz w:val="14"/>
          <w:szCs w:val="14"/>
          <w:u w:val="single" w:color="auto"/>
          <w:color w:val="auto"/>
        </w:rPr>
        <w:t>ABSA Warrants</w:t>
      </w:r>
      <w:r>
        <w:rPr>
          <w:rFonts w:ascii="Times New Roman" w:cs="Times New Roman" w:eastAsia="Times New Roman" w:hAnsi="Times New Roman"/>
          <w:sz w:val="14"/>
          <w:szCs w:val="14"/>
          <w:color w:val="auto"/>
        </w:rPr>
        <w:t>”, and the underlying ordinary shares, the “</w:t>
      </w:r>
      <w:r>
        <w:rPr>
          <w:rFonts w:ascii="Times New Roman" w:cs="Times New Roman" w:eastAsia="Times New Roman" w:hAnsi="Times New Roman"/>
          <w:sz w:val="14"/>
          <w:szCs w:val="14"/>
          <w:u w:val="single" w:color="auto"/>
          <w:color w:val="auto"/>
        </w:rPr>
        <w:t>ABSA Warrant Shares</w:t>
      </w:r>
      <w:r>
        <w:rPr>
          <w:rFonts w:ascii="Times New Roman" w:cs="Times New Roman" w:eastAsia="Times New Roman" w:hAnsi="Times New Roman"/>
          <w:sz w:val="14"/>
          <w:szCs w:val="14"/>
          <w:color w:val="auto"/>
        </w:rPr>
        <w:t>”), in each case as contemplated by the Registration Statement on Form F-3, as filed by the Company with the U.S.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to which this opinion is filed as an exhibit (as the same may be amended from time to time,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The Resale Shares may be represented by American Depositary Shares (“</w:t>
      </w:r>
      <w:r>
        <w:rPr>
          <w:rFonts w:ascii="Times New Roman" w:cs="Times New Roman" w:eastAsia="Times New Roman" w:hAnsi="Times New Roman"/>
          <w:sz w:val="14"/>
          <w:szCs w:val="14"/>
          <w:u w:val="single" w:color="auto"/>
          <w:color w:val="auto"/>
        </w:rPr>
        <w:t>ADSs</w:t>
      </w:r>
      <w:r>
        <w:rPr>
          <w:rFonts w:ascii="Times New Roman" w:cs="Times New Roman" w:eastAsia="Times New Roman" w:hAnsi="Times New Roman"/>
          <w:sz w:val="14"/>
          <w:szCs w:val="14"/>
          <w:color w:val="auto"/>
        </w:rPr>
        <w:t>”). The Resale Shares may be offered and resold from time to time pursuant to Rule 415 under the U.S. Securities Act of 1933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the opinions expressed herein, we have examined such documents, records and matters of law as we have deemed relevant or necessary for purposes of such opinions.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the foregoing, and subject to the further limitations, qualifications and assumptions set forth herein, we are of the opinion that:</w:t>
      </w:r>
    </w:p>
    <w:p>
      <w:pPr>
        <w:spacing w:after="0" w:line="165" w:lineRule="exact"/>
        <w:rPr>
          <w:sz w:val="20"/>
          <w:szCs w:val="20"/>
          <w:color w:val="auto"/>
        </w:rPr>
      </w:pPr>
    </w:p>
    <w:p>
      <w:pPr>
        <w:ind w:left="660" w:hanging="145"/>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Offered Shares have been validly issued and are fully paid and non-assessable.</w:t>
      </w:r>
    </w:p>
    <w:p>
      <w:pPr>
        <w:spacing w:after="0" w:line="178" w:lineRule="exact"/>
        <w:rPr>
          <w:rFonts w:ascii="Times New Roman" w:cs="Times New Roman" w:eastAsia="Times New Roman" w:hAnsi="Times New Roman"/>
          <w:sz w:val="14"/>
          <w:szCs w:val="14"/>
          <w:color w:val="auto"/>
        </w:rPr>
      </w:pPr>
    </w:p>
    <w:p>
      <w:pPr>
        <w:ind w:left="660" w:hanging="145"/>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ABSA Warrants constitute valid and legally binding obligations of the Company, enforceable against it in accordance with their terms.</w:t>
      </w:r>
    </w:p>
    <w:p>
      <w:pPr>
        <w:spacing w:after="0" w:line="178" w:lineRule="exact"/>
        <w:rPr>
          <w:rFonts w:ascii="Times New Roman" w:cs="Times New Roman" w:eastAsia="Times New Roman" w:hAnsi="Times New Roman"/>
          <w:sz w:val="14"/>
          <w:szCs w:val="14"/>
          <w:color w:val="auto"/>
        </w:rPr>
      </w:pPr>
    </w:p>
    <w:p>
      <w:pPr>
        <w:ind w:right="200" w:firstLine="515"/>
        <w:spacing w:after="0" w:line="287" w:lineRule="auto"/>
        <w:tabs>
          <w:tab w:leader="none" w:pos="64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ABSA Warrant Shares, when issued and delivered upon valid exercise of the ABSA Warrants in accordance with their terms and conditions and upon payment of the exercise price provided therein to the Company, will be validly issued, fully paid and non-assessable.</w:t>
      </w:r>
    </w:p>
    <w:p>
      <w:pPr>
        <w:spacing w:after="0" w:line="125" w:lineRule="exact"/>
        <w:rPr>
          <w:sz w:val="20"/>
          <w:szCs w:val="20"/>
          <w:color w:val="auto"/>
        </w:rPr>
      </w:pPr>
    </w:p>
    <w:p>
      <w:pPr>
        <w:ind w:right="360" w:firstLine="510"/>
        <w:spacing w:after="0" w:line="287" w:lineRule="auto"/>
        <w:rPr>
          <w:sz w:val="20"/>
          <w:szCs w:val="20"/>
          <w:color w:val="auto"/>
        </w:rPr>
      </w:pPr>
      <w:r>
        <w:rPr>
          <w:rFonts w:ascii="Times New Roman" w:cs="Times New Roman" w:eastAsia="Times New Roman" w:hAnsi="Times New Roman"/>
          <w:sz w:val="14"/>
          <w:szCs w:val="14"/>
          <w:color w:val="auto"/>
        </w:rPr>
        <w:t>The term “non-assessable”, which has no recognized meaning in French law, for the purposes of this opinion means that no present or future holder of Offered Shares will be subject to personal liability, by reason of being such a holder, for additional payments or calls for further funds by the Company or any other person after the issuance of such Ordinary Shares.</w:t>
      </w:r>
    </w:p>
    <w:p>
      <w:pPr>
        <w:spacing w:after="0" w:line="12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4"/>
          <w:szCs w:val="14"/>
          <w:color w:val="auto"/>
        </w:rPr>
        <w:t>In rendering the foregoing opinion, we have assumed that (i) the Registration Statement, and any amendments thereto, will have become effective under the Securities Act (and will remain effective at the time of issuance of any ABSA Warrant Shares, as applicable); (ii) the outstanding share capital of the Company is, and will remain, validly issued and fully paid up at all times at which the ABSA Warrant Shares are issued; (iii) the resolutions of the combined shareholders’ meeting of the Company held on June 25, 2025 (the “</w:t>
      </w:r>
      <w:r>
        <w:rPr>
          <w:rFonts w:ascii="Times New Roman" w:cs="Times New Roman" w:eastAsia="Times New Roman" w:hAnsi="Times New Roman"/>
          <w:sz w:val="14"/>
          <w:szCs w:val="14"/>
          <w:u w:val="single" w:color="auto"/>
          <w:color w:val="auto"/>
        </w:rPr>
        <w:t>Shareholders’ Meeting Authorization</w:t>
      </w:r>
      <w:r>
        <w:rPr>
          <w:rFonts w:ascii="Times New Roman" w:cs="Times New Roman" w:eastAsia="Times New Roman" w:hAnsi="Times New Roman"/>
          <w:sz w:val="14"/>
          <w:szCs w:val="14"/>
          <w:color w:val="auto"/>
        </w:rPr>
        <w:t>”), the resolutions of the Board of Directors of the Company dated April 28, 2026 (the “</w:t>
      </w:r>
      <w:r>
        <w:rPr>
          <w:rFonts w:ascii="Times New Roman" w:cs="Times New Roman" w:eastAsia="Times New Roman" w:hAnsi="Times New Roman"/>
          <w:sz w:val="14"/>
          <w:szCs w:val="14"/>
          <w:u w:val="single" w:color="auto"/>
          <w:color w:val="auto"/>
        </w:rPr>
        <w:t>Board Resolution</w:t>
      </w:r>
      <w:r>
        <w:rPr>
          <w:rFonts w:ascii="Times New Roman" w:cs="Times New Roman" w:eastAsia="Times New Roman" w:hAnsi="Times New Roman"/>
          <w:sz w:val="14"/>
          <w:szCs w:val="14"/>
          <w:color w:val="auto"/>
        </w:rPr>
        <w:t>”) and the decisions of the chief executive officer (</w:t>
      </w:r>
      <w:r>
        <w:rPr>
          <w:rFonts w:ascii="Times New Roman" w:cs="Times New Roman" w:eastAsia="Times New Roman" w:hAnsi="Times New Roman"/>
          <w:sz w:val="14"/>
          <w:szCs w:val="14"/>
          <w:i w:val="1"/>
          <w:iCs w:val="1"/>
          <w:color w:val="auto"/>
        </w:rPr>
        <w:t>directeur général</w:t>
      </w:r>
      <w:r>
        <w:rPr>
          <w:rFonts w:ascii="Times New Roman" w:cs="Times New Roman" w:eastAsia="Times New Roman" w:hAnsi="Times New Roman"/>
          <w:sz w:val="14"/>
          <w:szCs w:val="14"/>
          <w:color w:val="auto"/>
        </w:rPr>
        <w:t>) of the Company dated April 29, 2026 (the “</w:t>
      </w:r>
      <w:r>
        <w:rPr>
          <w:rFonts w:ascii="Times New Roman" w:cs="Times New Roman" w:eastAsia="Times New Roman" w:hAnsi="Times New Roman"/>
          <w:sz w:val="14"/>
          <w:szCs w:val="14"/>
          <w:u w:val="single" w:color="auto"/>
          <w:color w:val="auto"/>
        </w:rPr>
        <w:t>CEO’s Decision</w:t>
      </w:r>
      <w:r>
        <w:rPr>
          <w:rFonts w:ascii="Times New Roman" w:cs="Times New Roman" w:eastAsia="Times New Roman" w:hAnsi="Times New Roman"/>
          <w:sz w:val="14"/>
          <w:szCs w:val="14"/>
          <w:color w:val="auto"/>
        </w:rPr>
        <w:t>”) authorizing the issuance of the Offered Shares and the ABSA Warrants (and the related ABSA Warrant Shares) have been validly adopted and will remain in full force and effect at all times at which the ABSA Warrant Shares are issued by the Company; (iv) the definitive terms of the ABSA Warrants and the ABSA Warrant Shares have been established in accordance with the Shareholders’ Meeting Authorization, the Board Resolution, the CEO’s Decision, the Company’s By-laws and applicable law; (v) the ABSA Warrants will be exercised, and the ABSA Warrant Shares will be issued and delivered, in accordance with the terms and conditions of the ABSA Warrants; (vi) the number of ABSA Warrant Shares issued upon exercise of the ABSA Warrants will remain within the limits set by the Shareholders’ Meeting Authorization; (vii) the Offered Shares, the ABSA Warrants and the ABSA Warrant Shares have been, or will be, issued in compliance with applicable securities and corporate law; and (viii) any deposit agreement, warrant agreement, subscription, purchase, underwriting, placement or similar agreement constitutes a valid and binding obligation of each party thereto other than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266700</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48" w:right="319" w:bottom="1440" w:gutter="0" w:footer="0" w:header="0"/>
        </w:sectPr>
      </w:pPr>
    </w:p>
    <w:bookmarkStart w:id="34" w:name="page35"/>
    <w:bookmarkEnd w:id="34"/>
    <w:p>
      <w:pPr>
        <w:ind w:right="40" w:firstLine="510"/>
        <w:spacing w:after="0" w:line="287" w:lineRule="auto"/>
        <w:rPr>
          <w:sz w:val="20"/>
          <w:szCs w:val="20"/>
          <w:color w:val="auto"/>
        </w:rPr>
      </w:pPr>
      <w:r>
        <w:rPr>
          <w:rFonts w:ascii="Times New Roman" w:cs="Times New Roman" w:eastAsia="Times New Roman" w:hAnsi="Times New Roman"/>
          <w:sz w:val="14"/>
          <w:szCs w:val="14"/>
          <w:color w:val="auto"/>
        </w:rPr>
        <w:t>The opinion expressed herein is limited by bankruptcy, insolvency, reorganization, fraudulent transfer and fraudulent conveyance, voidable preference, moratorium or other similar laws and related regulations and judicial doctrines from time to time in effect relating to or affecting creditors’ rights generally, and by general equitable principles and public policy considerations.</w:t>
      </w:r>
    </w:p>
    <w:p>
      <w:pPr>
        <w:spacing w:after="0" w:line="125" w:lineRule="exact"/>
        <w:rPr>
          <w:sz w:val="20"/>
          <w:szCs w:val="20"/>
          <w:color w:val="auto"/>
        </w:rPr>
      </w:pPr>
    </w:p>
    <w:p>
      <w:pPr>
        <w:ind w:right="140" w:firstLine="510"/>
        <w:spacing w:after="0" w:line="287" w:lineRule="auto"/>
        <w:rPr>
          <w:sz w:val="20"/>
          <w:szCs w:val="20"/>
          <w:color w:val="auto"/>
        </w:rPr>
      </w:pPr>
      <w:r>
        <w:rPr>
          <w:rFonts w:ascii="Times New Roman" w:cs="Times New Roman" w:eastAsia="Times New Roman" w:hAnsi="Times New Roman"/>
          <w:sz w:val="14"/>
          <w:szCs w:val="14"/>
          <w:color w:val="auto"/>
        </w:rPr>
        <w:t>We do not undertake or accept any obligation to update this opinion to reflect subsequent changes in French law or factual matters arising after the date of effectiveness of the Registration Statement.</w:t>
      </w:r>
    </w:p>
    <w:p>
      <w:pPr>
        <w:spacing w:after="0" w:line="125" w:lineRule="exact"/>
        <w:rPr>
          <w:sz w:val="20"/>
          <w:szCs w:val="20"/>
          <w:color w:val="auto"/>
        </w:rPr>
      </w:pPr>
    </w:p>
    <w:p>
      <w:pPr>
        <w:ind w:right="20" w:firstLine="510"/>
        <w:spacing w:after="0" w:line="264" w:lineRule="auto"/>
        <w:rPr>
          <w:sz w:val="20"/>
          <w:szCs w:val="20"/>
          <w:color w:val="auto"/>
        </w:rPr>
      </w:pPr>
      <w:r>
        <w:rPr>
          <w:rFonts w:ascii="Times New Roman" w:cs="Times New Roman" w:eastAsia="Times New Roman" w:hAnsi="Times New Roman"/>
          <w:sz w:val="14"/>
          <w:szCs w:val="14"/>
          <w:color w:val="auto"/>
        </w:rPr>
        <w:t>As to facts material to the opinions and assumptions expressed herein, which we have not independently established or verified, we have relied upon written statements and representations of officers and other representatives of the Company. We are members of the Paris bar and this opinion is limited to the laws of the Republic of France. This opinion is subject to the sovereign power of the French courts to interpret the facts and circumstances of any adjudication. This opinion is given on the basis that it is to be governed by, and construed in accordance with, the laws of the Republic of France.</w:t>
      </w:r>
    </w:p>
    <w:p>
      <w:pPr>
        <w:spacing w:after="0" w:line="141"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4"/>
          <w:szCs w:val="14"/>
          <w:color w:val="auto"/>
        </w:rPr>
        <w:t>We hereby consent to the filing of this opinion as Exhibit 5.1 to the Registration Statement and to the reference to Jones Day under the caption “Legal Matters” in the prospectus constituting a part of such Registration Statement. In giving such consent, we do not thereby admit that we are included in the category of persons whose consent is required under Section 7 of the Securities Act or the rules and regulations of the Commission promulgated thereunder.</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16153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40"/>
          </w:cols>
          <w:pgMar w:left="300" w:top="63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115570</wp:posOffset>
            </wp:positionV>
            <wp:extent cx="716153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61530" cy="6985"/>
                    </a:xfrm>
                    <a:prstGeom prst="rect">
                      <a:avLst/>
                    </a:prstGeom>
                    <a:noFill/>
                  </pic:spPr>
                </pic:pic>
              </a:graphicData>
            </a:graphic>
          </wp:anchor>
        </w:drawing>
        <w:t>Valneva SE F-3</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Deloitte &amp; Associés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01750" cy="2425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1301750" cy="24257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6 place de la Pyramide</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92908 Paris-La Défense Cedex</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France</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Téléphone : + 33 (0) 1 40 88 28 00</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www.deloitte.fr</w:t>
      </w:r>
    </w:p>
    <w:p>
      <w:pPr>
        <w:spacing w:after="0" w:line="165"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Adresse postale :</w:t>
      </w:r>
    </w:p>
    <w:p>
      <w:pPr>
        <w:spacing w:after="0" w:line="2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TSA 20303</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92030 La Défense Cedex</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5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F- 3 of our report dated March 17, 2026, relating to the financial statements of Valneva SE and the effectiveness of Valneva SE’s internal control over financial reporting, appearing in the Annual Report on Form 20-F for the year ended December 31, 2025. We also consent to the reference to us under the heading “Experts” in such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Associés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143637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1436370" cy="698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Paris-La-Défense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2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115570</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61530" cy="6985"/>
                    </a:xfrm>
                    <a:prstGeom prst="rect">
                      <a:avLst/>
                    </a:prstGeom>
                    <a:noFill/>
                  </pic:spPr>
                </pic:pic>
              </a:graphicData>
            </a:graphic>
          </wp:anchor>
        </w:drawing>
        <w:t>Valneva SE F-3</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F-3 of Valneva SE of our report dated March 17, 2026 relating to the financial statements and the effectiveness of internal control over financial reporting, which appears in Valneva SE's Annual Report on Form 20-F for the year ended December 31, 2025. We also consent to the reference to us under the heading “Experts” in such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186817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1868170" cy="698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Neuilly-sur-Seine, France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1615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2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t>Valneva SE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57"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Calculation of Filing Fee Tables</w:t>
      </w:r>
    </w:p>
    <w:p>
      <w:pPr>
        <w:spacing w:after="0" w:line="17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Form F-3</w:t>
      </w:r>
    </w:p>
    <w:p>
      <w:pPr>
        <w:spacing w:after="0" w:line="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(Form Type)</w:t>
      </w:r>
    </w:p>
    <w:p>
      <w:pPr>
        <w:spacing w:after="0" w:line="1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Valneva SE</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u w:val="single" w:color="auto"/>
          <w:color w:val="auto"/>
        </w:rPr>
        <w:t>Table 1: Newly Registered and Carry Forward Securities</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660" w:type="dxa"/>
            <w:vAlign w:val="bottom"/>
            <w:tcBorders>
              <w:top w:val="single" w:sz="8" w:color="auto"/>
              <w:left w:val="single" w:sz="8" w:color="auto"/>
              <w:right w:val="single" w:sz="8" w:color="auto"/>
            </w:tcBorders>
          </w:tcPr>
          <w:p>
            <w:pPr>
              <w:spacing w:after="0"/>
              <w:rPr>
                <w:sz w:val="24"/>
                <w:szCs w:val="24"/>
                <w:color w:val="auto"/>
              </w:rPr>
            </w:pPr>
          </w:p>
        </w:tc>
        <w:tc>
          <w:tcPr>
            <w:tcW w:w="540" w:type="dxa"/>
            <w:vAlign w:val="bottom"/>
            <w:tcBorders>
              <w:top w:val="single" w:sz="8" w:color="auto"/>
              <w:right w:val="single" w:sz="8" w:color="auto"/>
            </w:tcBorders>
          </w:tcPr>
          <w:p>
            <w:pPr>
              <w:spacing w:after="0"/>
              <w:rPr>
                <w:sz w:val="24"/>
                <w:szCs w:val="24"/>
                <w:color w:val="auto"/>
              </w:rPr>
            </w:pPr>
          </w:p>
        </w:tc>
        <w:tc>
          <w:tcPr>
            <w:tcW w:w="312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Filing Fee</w:t>
            </w:r>
          </w:p>
        </w:tc>
        <w:tc>
          <w:tcPr>
            <w:tcW w:w="0" w:type="dxa"/>
            <w:vAlign w:val="bottom"/>
          </w:tcPr>
          <w:p>
            <w:pPr>
              <w:spacing w:after="0"/>
              <w:rPr>
                <w:sz w:val="1"/>
                <w:szCs w:val="1"/>
                <w:color w:val="auto"/>
              </w:rPr>
            </w:pPr>
          </w:p>
        </w:tc>
      </w:tr>
      <w:tr>
        <w:trPr>
          <w:trHeight w:val="170"/>
        </w:trPr>
        <w:tc>
          <w:tcPr>
            <w:tcW w:w="660" w:type="dxa"/>
            <w:vAlign w:val="bottom"/>
            <w:tcBorders>
              <w:left w:val="single" w:sz="8" w:color="auto"/>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1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Previously</w:t>
            </w:r>
          </w:p>
        </w:tc>
        <w:tc>
          <w:tcPr>
            <w:tcW w:w="0" w:type="dxa"/>
            <w:vAlign w:val="bottom"/>
          </w:tcPr>
          <w:p>
            <w:pPr>
              <w:spacing w:after="0"/>
              <w:rPr>
                <w:sz w:val="1"/>
                <w:szCs w:val="1"/>
                <w:color w:val="auto"/>
              </w:rPr>
            </w:pPr>
          </w:p>
        </w:tc>
      </w:tr>
      <w:tr>
        <w:trPr>
          <w:trHeight w:val="170"/>
        </w:trPr>
        <w:tc>
          <w:tcPr>
            <w:tcW w:w="660" w:type="dxa"/>
            <w:vAlign w:val="bottom"/>
            <w:tcBorders>
              <w:left w:val="single" w:sz="8" w:color="auto"/>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1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Paid In</w:t>
            </w:r>
          </w:p>
        </w:tc>
        <w:tc>
          <w:tcPr>
            <w:tcW w:w="0" w:type="dxa"/>
            <w:vAlign w:val="bottom"/>
          </w:tcPr>
          <w:p>
            <w:pPr>
              <w:spacing w:after="0"/>
              <w:rPr>
                <w:sz w:val="1"/>
                <w:szCs w:val="1"/>
                <w:color w:val="auto"/>
              </w:rPr>
            </w:pPr>
          </w:p>
        </w:tc>
      </w:tr>
      <w:tr>
        <w:trPr>
          <w:trHeight w:val="170"/>
        </w:trPr>
        <w:tc>
          <w:tcPr>
            <w:tcW w:w="660" w:type="dxa"/>
            <w:vAlign w:val="bottom"/>
            <w:tcBorders>
              <w:left w:val="single" w:sz="8" w:color="auto"/>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1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Connection</w:t>
            </w:r>
          </w:p>
        </w:tc>
        <w:tc>
          <w:tcPr>
            <w:tcW w:w="0" w:type="dxa"/>
            <w:vAlign w:val="bottom"/>
          </w:tcPr>
          <w:p>
            <w:pPr>
              <w:spacing w:after="0"/>
              <w:rPr>
                <w:sz w:val="1"/>
                <w:szCs w:val="1"/>
                <w:color w:val="auto"/>
              </w:rPr>
            </w:pPr>
          </w:p>
        </w:tc>
      </w:tr>
      <w:tr>
        <w:trPr>
          <w:trHeight w:val="170"/>
        </w:trPr>
        <w:tc>
          <w:tcPr>
            <w:tcW w:w="660" w:type="dxa"/>
            <w:vAlign w:val="bottom"/>
            <w:tcBorders>
              <w:left w:val="single" w:sz="8" w:color="auto"/>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1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with</w:t>
            </w:r>
          </w:p>
        </w:tc>
        <w:tc>
          <w:tcPr>
            <w:tcW w:w="0" w:type="dxa"/>
            <w:vAlign w:val="bottom"/>
          </w:tcPr>
          <w:p>
            <w:pPr>
              <w:spacing w:after="0"/>
              <w:rPr>
                <w:sz w:val="1"/>
                <w:szCs w:val="1"/>
                <w:color w:val="auto"/>
              </w:rPr>
            </w:pPr>
          </w:p>
        </w:tc>
      </w:tr>
      <w:tr>
        <w:trPr>
          <w:trHeight w:val="170"/>
        </w:trPr>
        <w:tc>
          <w:tcPr>
            <w:tcW w:w="660" w:type="dxa"/>
            <w:vAlign w:val="bottom"/>
            <w:tcBorders>
              <w:left w:val="single" w:sz="8" w:color="auto"/>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1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w:t>
            </w:r>
          </w:p>
        </w:tc>
        <w:tc>
          <w:tcPr>
            <w:tcW w:w="8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w:t>
            </w:r>
          </w:p>
        </w:tc>
        <w:tc>
          <w:tcPr>
            <w:tcW w:w="8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Unsold</w:t>
            </w:r>
          </w:p>
        </w:tc>
        <w:tc>
          <w:tcPr>
            <w:tcW w:w="0" w:type="dxa"/>
            <w:vAlign w:val="bottom"/>
          </w:tcPr>
          <w:p>
            <w:pPr>
              <w:spacing w:after="0"/>
              <w:rPr>
                <w:sz w:val="1"/>
                <w:szCs w:val="1"/>
                <w:color w:val="auto"/>
              </w:rPr>
            </w:pPr>
          </w:p>
        </w:tc>
      </w:tr>
      <w:tr>
        <w:trPr>
          <w:trHeight w:val="170"/>
        </w:trPr>
        <w:tc>
          <w:tcPr>
            <w:tcW w:w="660" w:type="dxa"/>
            <w:vAlign w:val="bottom"/>
            <w:tcBorders>
              <w:left w:val="single" w:sz="8" w:color="auto"/>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1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Calculation</w:t>
            </w:r>
          </w:p>
        </w:tc>
        <w:tc>
          <w:tcPr>
            <w:tcW w:w="8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Maximum</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Forward</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170"/>
        </w:trPr>
        <w:tc>
          <w:tcPr>
            <w:tcW w:w="660" w:type="dxa"/>
            <w:vAlign w:val="bottom"/>
            <w:tcBorders>
              <w:left w:val="single" w:sz="8" w:color="auto"/>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or Carry</w:t>
            </w:r>
          </w:p>
        </w:tc>
        <w:tc>
          <w:tcPr>
            <w:tcW w:w="8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Aggregate</w:t>
            </w: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Forward</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Forward</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Initial</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0" w:type="dxa"/>
            <w:vAlign w:val="bottom"/>
          </w:tcPr>
          <w:p>
            <w:pPr>
              <w:spacing w:after="0"/>
              <w:rPr>
                <w:sz w:val="1"/>
                <w:szCs w:val="1"/>
                <w:color w:val="auto"/>
              </w:rPr>
            </w:pPr>
          </w:p>
        </w:tc>
      </w:tr>
      <w:tr>
        <w:trPr>
          <w:trHeight w:val="170"/>
        </w:trPr>
        <w:tc>
          <w:tcPr>
            <w:tcW w:w="660" w:type="dxa"/>
            <w:vAlign w:val="bottom"/>
            <w:tcBorders>
              <w:left w:val="single" w:sz="8" w:color="auto"/>
              <w:right w:val="single" w:sz="8" w:color="auto"/>
            </w:tcBorders>
          </w:tcPr>
          <w:p>
            <w:pPr>
              <w:spacing w:after="0"/>
              <w:rPr>
                <w:sz w:val="14"/>
                <w:szCs w:val="14"/>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14"/>
                <w:szCs w:val="1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Price Per</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Offering</w:t>
            </w:r>
          </w:p>
        </w:tc>
        <w:tc>
          <w:tcPr>
            <w:tcW w:w="780" w:type="dxa"/>
            <w:vAlign w:val="bottom"/>
            <w:tcBorders>
              <w:right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Fee</w:t>
            </w:r>
          </w:p>
        </w:tc>
        <w:tc>
          <w:tcPr>
            <w:tcW w:w="60" w:type="dxa"/>
            <w:vAlign w:val="bottom"/>
          </w:tcPr>
          <w:p>
            <w:pPr>
              <w:spacing w:after="0"/>
              <w:rPr>
                <w:sz w:val="14"/>
                <w:szCs w:val="1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Registration</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Form</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File</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effective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be Carried</w:t>
            </w:r>
          </w:p>
        </w:tc>
        <w:tc>
          <w:tcPr>
            <w:tcW w:w="0" w:type="dxa"/>
            <w:vAlign w:val="bottom"/>
          </w:tcPr>
          <w:p>
            <w:pPr>
              <w:spacing w:after="0"/>
              <w:rPr>
                <w:sz w:val="1"/>
                <w:szCs w:val="1"/>
                <w:color w:val="auto"/>
              </w:rPr>
            </w:pPr>
          </w:p>
        </w:tc>
      </w:tr>
      <w:tr>
        <w:trPr>
          <w:trHeight w:val="184"/>
        </w:trPr>
        <w:tc>
          <w:tcPr>
            <w:tcW w:w="660" w:type="dxa"/>
            <w:vAlign w:val="bottom"/>
            <w:tcBorders>
              <w:left w:val="single" w:sz="8" w:color="auto"/>
              <w:right w:val="single" w:sz="8" w:color="auto"/>
            </w:tcBorders>
          </w:tcPr>
          <w:p>
            <w:pPr>
              <w:spacing w:after="0"/>
              <w:rPr>
                <w:sz w:val="16"/>
                <w:szCs w:val="16"/>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Registered</w:t>
            </w:r>
          </w:p>
        </w:tc>
        <w:tc>
          <w:tcPr>
            <w:tcW w:w="60" w:type="dxa"/>
            <w:vAlign w:val="bottom"/>
          </w:tcPr>
          <w:p>
            <w:pPr>
              <w:spacing w:after="0"/>
              <w:rPr>
                <w:sz w:val="16"/>
                <w:szCs w:val="16"/>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Unit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Price</w:t>
            </w:r>
          </w:p>
        </w:tc>
        <w:tc>
          <w:tcPr>
            <w:tcW w:w="78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Rate</w:t>
            </w:r>
          </w:p>
        </w:tc>
        <w:tc>
          <w:tcPr>
            <w:tcW w:w="60" w:type="dxa"/>
            <w:vAlign w:val="bottom"/>
          </w:tcPr>
          <w:p>
            <w:pPr>
              <w:spacing w:after="0"/>
              <w:rPr>
                <w:sz w:val="16"/>
                <w:szCs w:val="16"/>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date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Forward</w:t>
            </w:r>
          </w:p>
        </w:tc>
        <w:tc>
          <w:tcPr>
            <w:tcW w:w="0" w:type="dxa"/>
            <w:vAlign w:val="bottom"/>
          </w:tcPr>
          <w:p>
            <w:pPr>
              <w:spacing w:after="0"/>
              <w:rPr>
                <w:sz w:val="1"/>
                <w:szCs w:val="1"/>
                <w:color w:val="auto"/>
              </w:rPr>
            </w:pPr>
          </w:p>
        </w:tc>
      </w:tr>
      <w:tr>
        <w:trPr>
          <w:trHeight w:val="22"/>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gridSpan w:val="2"/>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6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Ordinary Shares, nominal value EUR 0.15 per share</w:t>
            </w:r>
            <w:r>
              <w:rPr>
                <w:rFonts w:ascii="Times New Roman" w:cs="Times New Roman" w:eastAsia="Times New Roman" w:hAnsi="Times New Roman"/>
                <w:sz w:val="23"/>
                <w:szCs w:val="23"/>
                <w:color w:val="auto"/>
                <w:w w:val="99"/>
                <w:vertAlign w:val="superscript"/>
              </w:rPr>
              <w:t>(1)</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31,787,634</w:t>
            </w:r>
            <w:r>
              <w:rPr>
                <w:rFonts w:ascii="Times New Roman" w:cs="Times New Roman" w:eastAsia="Times New Roman" w:hAnsi="Times New Roman"/>
                <w:sz w:val="23"/>
                <w:szCs w:val="23"/>
                <w:color w:val="auto"/>
                <w:w w:val="93"/>
                <w:vertAlign w:val="superscript"/>
              </w:rPr>
              <w:t>(2)</w:t>
            </w:r>
          </w:p>
        </w:tc>
        <w:tc>
          <w:tcPr>
            <w:tcW w:w="60" w:type="dxa"/>
            <w:vAlign w:val="bottom"/>
          </w:tcPr>
          <w:p>
            <w:pPr>
              <w:spacing w:after="0"/>
              <w:rPr>
                <w:sz w:val="24"/>
                <w:szCs w:val="2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9"/>
              </w:rPr>
              <w:t>2.82</w:t>
            </w:r>
            <w:r>
              <w:rPr>
                <w:rFonts w:ascii="Times New Roman" w:cs="Times New Roman" w:eastAsia="Times New Roman" w:hAnsi="Times New Roman"/>
                <w:sz w:val="23"/>
                <w:szCs w:val="23"/>
                <w:color w:val="auto"/>
                <w:w w:val="89"/>
                <w:vertAlign w:val="superscript"/>
              </w:rPr>
              <w:t>(3)</w:t>
            </w:r>
          </w:p>
        </w:tc>
        <w:tc>
          <w:tcPr>
            <w:tcW w:w="8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$89,561,658.80</w:t>
            </w:r>
          </w:p>
        </w:tc>
        <w:tc>
          <w:tcPr>
            <w:tcW w:w="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$0.00013810</w:t>
            </w:r>
          </w:p>
        </w:tc>
        <w:tc>
          <w:tcPr>
            <w:tcW w:w="60" w:type="dxa"/>
            <w:vAlign w:val="bottom"/>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12,368.47</w:t>
            </w:r>
          </w:p>
        </w:tc>
        <w:tc>
          <w:tcPr>
            <w:tcW w:w="56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540" w:type="dxa"/>
            <w:vAlign w:val="bottom"/>
            <w:tcBorders>
              <w:bottom w:val="single" w:sz="8" w:color="auto"/>
              <w:right w:val="single" w:sz="8" w:color="auto"/>
            </w:tcBorders>
            <w:vMerge w:val="continue"/>
          </w:tcPr>
          <w:p>
            <w:pPr>
              <w:spacing w:after="0"/>
              <w:rPr>
                <w:sz w:val="16"/>
                <w:szCs w:val="16"/>
                <w:color w:val="auto"/>
              </w:rPr>
            </w:pPr>
          </w:p>
        </w:tc>
        <w:tc>
          <w:tcPr>
            <w:tcW w:w="312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right w:val="single" w:sz="8" w:color="auto"/>
            </w:tcBorders>
            <w:vMerge w:val="continue"/>
          </w:tcPr>
          <w:p>
            <w:pPr>
              <w:spacing w:after="0"/>
              <w:rPr>
                <w:sz w:val="16"/>
                <w:szCs w:val="16"/>
                <w:color w:val="auto"/>
              </w:rPr>
            </w:pPr>
          </w:p>
        </w:tc>
        <w:tc>
          <w:tcPr>
            <w:tcW w:w="88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Fees</w:t>
            </w:r>
          </w:p>
        </w:tc>
        <w:tc>
          <w:tcPr>
            <w:tcW w:w="54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Previously</w:t>
            </w:r>
          </w:p>
        </w:tc>
        <w:tc>
          <w:tcPr>
            <w:tcW w:w="540" w:type="dxa"/>
            <w:vAlign w:val="bottom"/>
            <w:tcBorders>
              <w:right w:val="single" w:sz="8" w:color="auto"/>
            </w:tcBorders>
          </w:tcPr>
          <w:p>
            <w:pPr>
              <w:spacing w:after="0"/>
              <w:rPr>
                <w:sz w:val="14"/>
                <w:szCs w:val="14"/>
                <w:color w:val="auto"/>
              </w:rPr>
            </w:pPr>
          </w:p>
        </w:tc>
        <w:tc>
          <w:tcPr>
            <w:tcW w:w="312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540" w:type="dxa"/>
            <w:vAlign w:val="bottom"/>
            <w:tcBorders>
              <w:bottom w:val="single" w:sz="8" w:color="auto"/>
              <w:right w:val="single" w:sz="8" w:color="auto"/>
            </w:tcBorders>
          </w:tcPr>
          <w:p>
            <w:pPr>
              <w:spacing w:after="0"/>
              <w:rPr>
                <w:sz w:val="16"/>
                <w:szCs w:val="16"/>
                <w:color w:val="auto"/>
              </w:rPr>
            </w:pPr>
          </w:p>
        </w:tc>
        <w:tc>
          <w:tcPr>
            <w:tcW w:w="31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66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left="929"/>
              <w:spacing w:after="0"/>
              <w:rPr>
                <w:sz w:val="20"/>
                <w:szCs w:val="20"/>
                <w:color w:val="auto"/>
              </w:rPr>
            </w:pPr>
            <w:r>
              <w:rPr>
                <w:rFonts w:ascii="Times New Roman" w:cs="Times New Roman" w:eastAsia="Times New Roman" w:hAnsi="Times New Roman"/>
                <w:sz w:val="14"/>
                <w:szCs w:val="14"/>
                <w:color w:val="auto"/>
                <w:w w:val="99"/>
              </w:rPr>
              <w:t>Total Offering Amounts</w:t>
            </w: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$89,561,658.80</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$0.00013810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12,368.47</w:t>
            </w:r>
          </w:p>
        </w:tc>
        <w:tc>
          <w:tcPr>
            <w:tcW w:w="56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6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left="929"/>
              <w:spacing w:after="0"/>
              <w:rPr>
                <w:sz w:val="20"/>
                <w:szCs w:val="20"/>
                <w:color w:val="auto"/>
              </w:rPr>
            </w:pPr>
            <w:r>
              <w:rPr>
                <w:rFonts w:ascii="Times New Roman" w:cs="Times New Roman" w:eastAsia="Times New Roman" w:hAnsi="Times New Roman"/>
                <w:sz w:val="14"/>
                <w:szCs w:val="14"/>
                <w:color w:val="auto"/>
              </w:rPr>
              <w:t>Total Fees Previously Paid</w:t>
            </w: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6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left="949"/>
              <w:spacing w:after="0"/>
              <w:rPr>
                <w:sz w:val="20"/>
                <w:szCs w:val="20"/>
                <w:color w:val="auto"/>
              </w:rPr>
            </w:pPr>
            <w:r>
              <w:rPr>
                <w:rFonts w:ascii="Times New Roman" w:cs="Times New Roman" w:eastAsia="Times New Roman" w:hAnsi="Times New Roman"/>
                <w:sz w:val="14"/>
                <w:szCs w:val="14"/>
                <w:color w:val="auto"/>
              </w:rPr>
              <w:t>Total Fee Offsets</w:t>
            </w: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6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left="929"/>
              <w:spacing w:after="0"/>
              <w:rPr>
                <w:sz w:val="20"/>
                <w:szCs w:val="20"/>
                <w:color w:val="auto"/>
              </w:rPr>
            </w:pPr>
            <w:r>
              <w:rPr>
                <w:rFonts w:ascii="Times New Roman" w:cs="Times New Roman" w:eastAsia="Times New Roman" w:hAnsi="Times New Roman"/>
                <w:sz w:val="14"/>
                <w:szCs w:val="14"/>
                <w:color w:val="auto"/>
              </w:rPr>
              <w:t>Net Fee Due</w:t>
            </w: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12,368.47</w:t>
            </w:r>
          </w:p>
        </w:tc>
        <w:tc>
          <w:tcPr>
            <w:tcW w:w="56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60" w:right="100" w:hanging="255"/>
        <w:spacing w:after="0" w:line="257" w:lineRule="auto"/>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ordinary shares, nominal value €0.15 per share (the “Ordinary Shares”) of Valneva SE (the “Registrant”), which may be represented by American Depositary Shares (the “ADSs”) of the Company, each ADS representing two Ordinary Shares, that will be offered for resale by the selling shareholders pursuant to the prospectus to which this exhibit is attached. ADSs issuable upon deposit of the Ordinary Shares registered hereby have been registered pursuant to a separate registration statement on Form F-6 (File No. 333-255301). Pursuant to Rule 416 under the Securities Act of 1933, as amended (the “Securities Act”), the shares being registered hereunder include such indeterminate number of additional ordinary shares as may be issuable as a result of stock splits, stock dividends or similar transactions with respect to the shares being registered hereunder.</w:t>
      </w:r>
    </w:p>
    <w:p>
      <w:pPr>
        <w:spacing w:after="0" w:line="1" w:lineRule="exact"/>
        <w:rPr>
          <w:rFonts w:ascii="Times New Roman" w:cs="Times New Roman" w:eastAsia="Times New Roman" w:hAnsi="Times New Roman"/>
          <w:sz w:val="14"/>
          <w:szCs w:val="14"/>
          <w:color w:val="auto"/>
        </w:rPr>
      </w:pPr>
    </w:p>
    <w:p>
      <w:pPr>
        <w:ind w:left="260" w:right="420" w:hanging="255"/>
        <w:spacing w:after="0" w:line="253" w:lineRule="auto"/>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an aggregate of 31,787,634 Ordinary Shares, which may be represented by ADSs, including (i) 15,893,817 issued and outstanding Ordinary Shares and (ii) 15,893,817 Ordinary Shares issuable upon the exercise of issued and outstanding warrants of the Registrant held by the selling stockholders.</w:t>
      </w:r>
    </w:p>
    <w:p>
      <w:pPr>
        <w:ind w:left="260" w:right="100" w:hanging="255"/>
        <w:spacing w:after="0" w:line="259" w:lineRule="auto"/>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estimate is made pursuant to Rule 457(c) of the Securities Act solely for purposes of calculating the registration fee. The proposed maximum offering price per Ordinary Share and proposed maximum aggregate offering price are calculated on the basis of $2.82, the average of the high and low sale price of the ADSs on the Nasdaq Capital Market on June 2, 2026, divided by two as each ADS represents two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16153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sectPr>
      <w:pgSz w:w="11900" w:h="16838" w:orient="portrait"/>
      <w:cols w:equalWidth="0" w:num="1">
        <w:col w:w="11360"/>
      </w:cols>
      <w:pgMar w:left="300" w:top="1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2"/>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5"/>
    </w:lvl>
    <w:lvl w:ilvl="1">
      <w:lvlJc w:val="left"/>
      <w:lvlText w:val="(%2)"/>
      <w:numFmt w:val="lowerRoman"/>
      <w:start w:val="1"/>
    </w:lvl>
  </w:abstractNum>
  <w:abstractNum w:abstractNumId="17">
    <w:nsid w:val="62BBD95A"/>
    <w:multiLevelType w:val="hybridMultilevel"/>
    <w:lvl w:ilvl="0">
      <w:lvlJc w:val="left"/>
      <w:lvlText w:val="%1"/>
      <w:numFmt w:val="decimal"/>
      <w:start w:val="1"/>
    </w:lvl>
    <w:lvl w:ilvl="1">
      <w:lvlJc w:val="left"/>
      <w:lvlText w:val="(%2)"/>
      <w:numFmt w:val="lowerRoman"/>
      <w:start w:val="1"/>
    </w:lvl>
  </w:abstractNum>
  <w:abstractNum w:abstractNumId="18">
    <w:nsid w:val="436C6125"/>
    <w:multiLevelType w:val="hybridMultilevel"/>
    <w:lvl w:ilvl="0">
      <w:lvlJc w:val="left"/>
      <w:lvlText w:val="(%1)"/>
      <w:numFmt w:val="decimal"/>
      <w:start w:val="7"/>
    </w:lvl>
    <w:lvl w:ilvl="1">
      <w:lvlJc w:val="left"/>
      <w:lvlText w:val="%2"/>
      <w:numFmt w:val="lowerRoman"/>
      <w:start w:val="1"/>
    </w:lvl>
  </w:abstractNum>
  <w:abstractNum w:abstractNumId="19">
    <w:nsid w:val="628C895D"/>
    <w:multiLevelType w:val="hybridMultilevel"/>
    <w:lvl w:ilvl="0">
      <w:lvlJc w:val="left"/>
      <w:lvlText w:val="(%1)"/>
      <w:numFmt w:val="lowerLetter"/>
      <w:start w:val="2"/>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jpe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jpe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41" Type="http://schemas.openxmlformats.org/officeDocument/2006/relationships/hyperlink" Target="http://www.sec.gov/Archives/edgar/data/1836564/000162828026018808/valn-20251231.htm#i738363a0eae046779fb68b7f8316ce54_181" TargetMode="External"/><Relationship Id="rId42" Type="http://schemas.openxmlformats.org/officeDocument/2006/relationships/hyperlink" Target="https://www.sec.gov/Archives/edgar/data/1836564/000162828026019159/a6-kcoverpagetemplate.htm" TargetMode="External"/><Relationship Id="rId43" Type="http://schemas.openxmlformats.org/officeDocument/2006/relationships/hyperlink" Target="https://www.sec.gov/Archives/edgar/data/1836564/000162828026020495/lymeresults6-kcoverpage.htm" TargetMode="External"/><Relationship Id="rId44" Type="http://schemas.openxmlformats.org/officeDocument/2006/relationships/hyperlink" Target="https://www.sec.gov/Archives/edgar/data/1836564/000162828026021321/a6-kcoverpagetemplate.htm" TargetMode="External"/><Relationship Id="rId45" Type="http://schemas.openxmlformats.org/officeDocument/2006/relationships/hyperlink" Target="https://www.sec.gov/Archives/edgar/data/1836564/000162828026029000/projectvista6-k.htm" TargetMode="External"/><Relationship Id="rId46" Type="http://schemas.openxmlformats.org/officeDocument/2006/relationships/hyperlink" Target="https://www.sec.gov/Archives/edgar/data/1836564/000162828026030265/a6-kcoverpagetemplate.htm" TargetMode="External"/><Relationship Id="rId47" Type="http://schemas.openxmlformats.org/officeDocument/2006/relationships/hyperlink" Target="https://www.sec.gov/Archives/edgar/data/1836564/000162828026034662/q126results6-kcoverpage.htm" TargetMode="External"/><Relationship Id="rId48" Type="http://schemas.openxmlformats.org/officeDocument/2006/relationships/hyperlink" Target="https://www.sec.gov/Archives/edgar/data/1836564/000162828026039308/a6-kcoverpagetemplate.htm" TargetMode="External"/><Relationship Id="rId49" Type="http://schemas.openxmlformats.org/officeDocument/2006/relationships/hyperlink" Target="https://www.sec.gov/Archives/edgar/data/1836564/000119312521147939/d105416d8a12b.htm" TargetMode="External"/><Relationship Id="rId53" Type="http://schemas.openxmlformats.org/officeDocument/2006/relationships/hyperlink" Target="http://www.sec.gov/Archives/edgar/data/1836564/000162828026018808/valn-20251231.htm" TargetMode="External"/><Relationship Id="rId54" Type="http://schemas.openxmlformats.org/officeDocument/2006/relationships/hyperlink" Target="http://www.sec.gov/Archives/edgar/data/1836564/000119380521000504/e620487_f6-valneva.htm" TargetMode="External"/><Relationship Id="rId55" Type="http://schemas.openxmlformats.org/officeDocument/2006/relationships/hyperlink" Target="http://www.sec.gov/Archives/edgar/data/1836564/000162828026029000/projectvista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2026-06-04T16:17:42Z</dcterms:created>
  <dcterms:modified xsi:type="dcterms:W3CDTF">2026-06-04T16:17:42Z</dcterms:modified>
</cp:coreProperties>
</file>